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C4FFC" w14:textId="77777777" w:rsidR="005D72AE" w:rsidRPr="00844A25" w:rsidRDefault="005D72AE" w:rsidP="005D72AE">
      <w:pPr>
        <w:pStyle w:val="Heading2"/>
      </w:pPr>
      <w:bookmarkStart w:id="1" w:name="_Toc58838596"/>
      <w:bookmarkStart w:id="2" w:name="_Toc58838731"/>
      <w:bookmarkStart w:id="3" w:name="_Toc58869003"/>
      <w:r w:rsidRPr="00844A25">
        <w:t>Note 1. About this report</w:t>
      </w:r>
      <w:bookmarkEnd w:id="1"/>
      <w:bookmarkEnd w:id="2"/>
      <w:bookmarkEnd w:id="3"/>
    </w:p>
    <w:p w14:paraId="4195472C" w14:textId="77777777" w:rsidR="005D72AE" w:rsidRPr="00844A25" w:rsidRDefault="005D72AE" w:rsidP="005D72AE">
      <w:pPr>
        <w:rPr>
          <w:lang w:val="en-US"/>
        </w:rPr>
      </w:pPr>
      <w:r w:rsidRPr="00844A25">
        <w:rPr>
          <w:lang w:val="en-US"/>
        </w:rPr>
        <w:t xml:space="preserve">The Essential Services Commission (the commission) is a government commission of the State of Victoria, established under the </w:t>
      </w:r>
      <w:r w:rsidRPr="00844A25">
        <w:rPr>
          <w:i/>
          <w:iCs/>
          <w:lang w:val="en-US"/>
        </w:rPr>
        <w:t>Essential Services Commission Act 2001.</w:t>
      </w:r>
    </w:p>
    <w:p w14:paraId="16D8278C" w14:textId="77777777" w:rsidR="005D72AE" w:rsidRPr="00844A25" w:rsidRDefault="005D72AE" w:rsidP="005D72AE">
      <w:pPr>
        <w:pStyle w:val="Normalnospace"/>
      </w:pPr>
      <w:r w:rsidRPr="00844A25">
        <w:t>Its principal address is:</w:t>
      </w:r>
      <w:r w:rsidRPr="00844A25">
        <w:tab/>
      </w:r>
    </w:p>
    <w:p w14:paraId="7D71E10D" w14:textId="77777777" w:rsidR="005D72AE" w:rsidRPr="00844A25" w:rsidRDefault="005D72AE" w:rsidP="005D72AE">
      <w:pPr>
        <w:pStyle w:val="Normalnospace"/>
      </w:pPr>
      <w:r w:rsidRPr="00844A25">
        <w:t>Essential Services Commission</w:t>
      </w:r>
    </w:p>
    <w:p w14:paraId="14D39C99" w14:textId="77777777" w:rsidR="005D72AE" w:rsidRPr="00844A25" w:rsidRDefault="005D72AE" w:rsidP="005D72AE">
      <w:pPr>
        <w:pStyle w:val="Normalnospace"/>
      </w:pPr>
      <w:r w:rsidRPr="00844A25">
        <w:t>Level 37</w:t>
      </w:r>
    </w:p>
    <w:p w14:paraId="152B4A37" w14:textId="77777777" w:rsidR="005D72AE" w:rsidRPr="00844A25" w:rsidRDefault="005D72AE" w:rsidP="005D72AE">
      <w:pPr>
        <w:pStyle w:val="Normalnospace"/>
      </w:pPr>
      <w:r w:rsidRPr="00844A25">
        <w:t>2 Lonsdale Street</w:t>
      </w:r>
    </w:p>
    <w:p w14:paraId="38CACF09" w14:textId="77777777" w:rsidR="005D72AE" w:rsidRPr="00844A25" w:rsidRDefault="005D72AE" w:rsidP="005D72AE">
      <w:pPr>
        <w:pStyle w:val="Normalnospace"/>
      </w:pPr>
      <w:r w:rsidRPr="00844A25">
        <w:t>Melbourne VIC 3000</w:t>
      </w:r>
    </w:p>
    <w:p w14:paraId="577568CE" w14:textId="77777777" w:rsidR="005D72AE" w:rsidRPr="00844A25" w:rsidRDefault="005D72AE" w:rsidP="005D72AE">
      <w:pPr>
        <w:rPr>
          <w:lang w:val="en-US"/>
        </w:rPr>
      </w:pPr>
      <w:r w:rsidRPr="00844A25">
        <w:rPr>
          <w:lang w:val="en-US"/>
        </w:rPr>
        <w:t>A description of the nature of its operations and its principal activities is included in the “Report of operations” which does not form part of these financial statements.</w:t>
      </w:r>
    </w:p>
    <w:p w14:paraId="4E428D30" w14:textId="77777777" w:rsidR="005D72AE" w:rsidRPr="00844A25" w:rsidRDefault="005D72AE" w:rsidP="005D72AE">
      <w:pPr>
        <w:pStyle w:val="Heading3"/>
      </w:pPr>
      <w:r w:rsidRPr="00844A25">
        <w:t>Basis of preparation</w:t>
      </w:r>
    </w:p>
    <w:p w14:paraId="6A2F48EB" w14:textId="77777777" w:rsidR="005D72AE" w:rsidRPr="00844A25" w:rsidRDefault="005D72AE" w:rsidP="005D72AE">
      <w:pPr>
        <w:rPr>
          <w:lang w:val="en-US"/>
        </w:rPr>
      </w:pPr>
      <w:r w:rsidRPr="00844A25">
        <w:rPr>
          <w:lang w:val="en-US"/>
        </w:rPr>
        <w:t>The financial statements are presented in Australian dollars, and prepared in accordance with the historical cost convention, except where noted. Historical cost is based on the fair values of the consideration given</w:t>
      </w:r>
      <w:r>
        <w:rPr>
          <w:lang w:val="en-US"/>
        </w:rPr>
        <w:t xml:space="preserve"> </w:t>
      </w:r>
      <w:r w:rsidRPr="00844A25">
        <w:rPr>
          <w:lang w:val="en-US"/>
        </w:rPr>
        <w:t>in exchange for assets.</w:t>
      </w:r>
    </w:p>
    <w:p w14:paraId="330D6173" w14:textId="77777777" w:rsidR="005D72AE" w:rsidRPr="00844A25" w:rsidRDefault="005D72AE" w:rsidP="005D72AE">
      <w:pPr>
        <w:rPr>
          <w:lang w:val="en-US"/>
        </w:rPr>
      </w:pPr>
      <w:r w:rsidRPr="00844A25">
        <w:rPr>
          <w:lang w:val="en-US"/>
        </w:rPr>
        <w:t>The accrual basis of accounting has been applied in the preparation of these financial statements whereby assets, liabilities, equity, income and expenses are recognised in the reporting period to which they relate, regardless of when cash is received or paid.</w:t>
      </w:r>
    </w:p>
    <w:p w14:paraId="236038D8" w14:textId="77777777" w:rsidR="005D72AE" w:rsidRPr="00844A25" w:rsidRDefault="005D72AE" w:rsidP="005D72AE">
      <w:pPr>
        <w:rPr>
          <w:lang w:val="en-US"/>
        </w:rPr>
      </w:pPr>
      <w:r w:rsidRPr="00844A25">
        <w:rPr>
          <w:lang w:val="en-US"/>
        </w:rPr>
        <w:t>Judgements, estimates and assumptions are required to be made about carrying values of assets and liabilities that are not readily apparent from other sources. The estimates and associated assumptions are based on professional judgments derived from historical experience and various other factors that are believed to be reasonable under the circumstances. Actual results may differ from these estimates.</w:t>
      </w:r>
    </w:p>
    <w:p w14:paraId="3D71758F" w14:textId="77777777" w:rsidR="005D72AE" w:rsidRPr="00844A25" w:rsidRDefault="005D72AE" w:rsidP="005D72AE">
      <w:pPr>
        <w:rPr>
          <w:lang w:val="en-US"/>
        </w:rPr>
      </w:pPr>
      <w:r w:rsidRPr="00844A25">
        <w:rPr>
          <w:lang w:val="en-US"/>
        </w:rPr>
        <w:t>Revisions to accounting estimates are recognised in the period in which the estimate is revised and also</w:t>
      </w:r>
      <w:r>
        <w:rPr>
          <w:lang w:val="en-US"/>
        </w:rPr>
        <w:t xml:space="preserve"> </w:t>
      </w:r>
      <w:r w:rsidRPr="00844A25">
        <w:rPr>
          <w:lang w:val="en-US"/>
        </w:rPr>
        <w:t xml:space="preserve">in future periods that are affected by the revision. </w:t>
      </w:r>
    </w:p>
    <w:p w14:paraId="44B7C68A" w14:textId="77777777" w:rsidR="005D72AE" w:rsidRPr="00844A25" w:rsidRDefault="005D72AE" w:rsidP="005D72AE">
      <w:pPr>
        <w:rPr>
          <w:lang w:val="en-US"/>
        </w:rPr>
      </w:pPr>
      <w:r w:rsidRPr="00844A25">
        <w:rPr>
          <w:lang w:val="en-US"/>
        </w:rPr>
        <w:t>These financial statements cover the Essential Services Commission as an individual reporting entity</w:t>
      </w:r>
      <w:r>
        <w:rPr>
          <w:lang w:val="en-US"/>
        </w:rPr>
        <w:t xml:space="preserve"> </w:t>
      </w:r>
      <w:r w:rsidRPr="00844A25">
        <w:rPr>
          <w:lang w:val="en-US"/>
        </w:rPr>
        <w:t>and include all the controlled activities of the commission.</w:t>
      </w:r>
    </w:p>
    <w:p w14:paraId="594882EF" w14:textId="77777777" w:rsidR="005D72AE" w:rsidRPr="00844A25" w:rsidRDefault="005D72AE" w:rsidP="005D72AE">
      <w:pPr>
        <w:rPr>
          <w:lang w:val="en-US"/>
        </w:rPr>
      </w:pPr>
      <w:r w:rsidRPr="00844A25">
        <w:rPr>
          <w:lang w:val="en-US"/>
        </w:rPr>
        <w:t>All amounts in the financial statements have been rounded to the nearest dollar.</w:t>
      </w:r>
    </w:p>
    <w:p w14:paraId="4DD3ECC1" w14:textId="77777777" w:rsidR="005D72AE" w:rsidRPr="00844A25" w:rsidRDefault="005D72AE" w:rsidP="005D72AE">
      <w:pPr>
        <w:pStyle w:val="Heading3"/>
      </w:pPr>
      <w:r w:rsidRPr="00844A25">
        <w:t>Compliance</w:t>
      </w:r>
    </w:p>
    <w:p w14:paraId="562E9176" w14:textId="77777777" w:rsidR="005D72AE" w:rsidRPr="00844A25" w:rsidRDefault="005D72AE" w:rsidP="005D72AE">
      <w:pPr>
        <w:rPr>
          <w:lang w:val="en-US"/>
        </w:rPr>
      </w:pPr>
      <w:r w:rsidRPr="00844A25">
        <w:rPr>
          <w:lang w:val="en-US"/>
        </w:rPr>
        <w:t xml:space="preserve">These general purpose financial statements have been prepared in accordance with the </w:t>
      </w:r>
      <w:r w:rsidRPr="00844A25">
        <w:rPr>
          <w:i/>
          <w:iCs/>
          <w:lang w:val="en-US"/>
        </w:rPr>
        <w:t>Financial Management Act 1994</w:t>
      </w:r>
      <w:r w:rsidRPr="00844A25">
        <w:rPr>
          <w:lang w:val="en-US"/>
        </w:rPr>
        <w:t xml:space="preserve"> and applicable Australian Accounting Standards (AASs) including interpretations, issued by the Australian Accounting Standards Board (AASB). They are presented in a manner consistent with the requirements of AASB 1049 </w:t>
      </w:r>
      <w:r w:rsidRPr="00844A25">
        <w:rPr>
          <w:i/>
          <w:iCs/>
          <w:lang w:val="en-US"/>
        </w:rPr>
        <w:t>Whole of Government and General Government Sector Financial Reporting</w:t>
      </w:r>
      <w:r w:rsidRPr="00844A25">
        <w:rPr>
          <w:lang w:val="en-US"/>
        </w:rPr>
        <w:t xml:space="preserve">. </w:t>
      </w:r>
    </w:p>
    <w:p w14:paraId="538F448B" w14:textId="77777777" w:rsidR="005D72AE" w:rsidRPr="00844A25" w:rsidRDefault="005D72AE" w:rsidP="005D72AE">
      <w:pPr>
        <w:rPr>
          <w:i/>
          <w:iCs/>
          <w:lang w:val="en-US"/>
        </w:rPr>
      </w:pPr>
      <w:r w:rsidRPr="00844A25">
        <w:rPr>
          <w:lang w:val="en-US"/>
        </w:rPr>
        <w:lastRenderedPageBreak/>
        <w:t>Where relevant, those paragraphs of the AASs applicable to not-for-profit entities have been applied. Accounting policies are selected and applied in a manner which ensures that the resulting financial information satisfies the concepts of relevance and reliability, thereby ensuring that the substance</w:t>
      </w:r>
      <w:r>
        <w:rPr>
          <w:lang w:val="en-US"/>
        </w:rPr>
        <w:t xml:space="preserve"> </w:t>
      </w:r>
      <w:r w:rsidRPr="00844A25">
        <w:rPr>
          <w:lang w:val="en-US"/>
        </w:rPr>
        <w:t xml:space="preserve">of the underlying transactions or other events is reported. </w:t>
      </w:r>
    </w:p>
    <w:p w14:paraId="3A4558D2" w14:textId="77777777" w:rsidR="005D72AE" w:rsidRPr="00844A25" w:rsidRDefault="005D72AE" w:rsidP="005D72AE">
      <w:pPr>
        <w:pStyle w:val="Heading2"/>
      </w:pPr>
      <w:bookmarkStart w:id="4" w:name="_Toc58838597"/>
      <w:bookmarkStart w:id="5" w:name="_Toc58838732"/>
      <w:bookmarkStart w:id="6" w:name="_Toc58869004"/>
      <w:r w:rsidRPr="00844A25">
        <w:t>Note 2. Funding delivery of our services</w:t>
      </w:r>
      <w:bookmarkEnd w:id="4"/>
      <w:bookmarkEnd w:id="5"/>
      <w:bookmarkEnd w:id="6"/>
    </w:p>
    <w:p w14:paraId="116D3F57" w14:textId="77777777" w:rsidR="005D72AE" w:rsidRDefault="005D72AE" w:rsidP="005D72AE">
      <w:pPr>
        <w:pStyle w:val="Heading3"/>
      </w:pPr>
      <w:r w:rsidRPr="00844A25">
        <w:t>Introduction</w:t>
      </w:r>
    </w:p>
    <w:p w14:paraId="2723B849" w14:textId="77777777" w:rsidR="005D72AE" w:rsidRDefault="005D72AE" w:rsidP="005D72AE">
      <w:pPr>
        <w:rPr>
          <w:lang w:val="en-US"/>
        </w:rPr>
      </w:pPr>
      <w:r w:rsidRPr="00844A25">
        <w:rPr>
          <w:lang w:val="en-US"/>
        </w:rPr>
        <w:t xml:space="preserve">The objective of the commission is to promote the long term interests of Victorian consumers having regard to the price, quality and reliability of essential services. The commission operates under the </w:t>
      </w:r>
      <w:r w:rsidRPr="00844A25">
        <w:rPr>
          <w:i/>
          <w:iCs/>
          <w:lang w:val="en-US"/>
        </w:rPr>
        <w:t>Essential Services Commission Act 2001</w:t>
      </w:r>
      <w:r w:rsidRPr="00844A25">
        <w:rPr>
          <w:lang w:val="en-US"/>
        </w:rPr>
        <w:t xml:space="preserve"> (“the Act”). The Act designates the commission as an economic regulator and lays a foundation for the commission to perform its functions and exercise its powers in respect of regulated entities providing an essential service operating under relevant legislation and as conferred by or under other specified legislation identified in the Act.</w:t>
      </w:r>
    </w:p>
    <w:p w14:paraId="20618D88" w14:textId="77777777" w:rsidR="005D72AE" w:rsidRPr="00844A25" w:rsidRDefault="005D72AE" w:rsidP="005D72AE">
      <w:pPr>
        <w:rPr>
          <w:lang w:val="en-US"/>
        </w:rPr>
      </w:pPr>
      <w:r w:rsidRPr="00844A25">
        <w:rPr>
          <w:lang w:val="en-US"/>
        </w:rPr>
        <w:t>At 30 June 2020 the regulated industries included electricity, gas, water and sewerage, ports, taxis and rail freight. Functions conferred under other legislation related to energy industry compliance and enforcement, energy efficiency, accident towing and local government.</w:t>
      </w:r>
    </w:p>
    <w:p w14:paraId="597F590C" w14:textId="77777777" w:rsidR="005D72AE" w:rsidRPr="00743CD6" w:rsidRDefault="005D72AE" w:rsidP="005D72AE">
      <w:pPr>
        <w:rPr>
          <w:lang w:val="en-US"/>
        </w:rPr>
      </w:pPr>
      <w:r w:rsidRPr="00844A25">
        <w:rPr>
          <w:lang w:val="en-US"/>
        </w:rPr>
        <w:t>The commission is predominantly funded by accrual based Parliamentary appropriations for the provision of outputs. These appropriations are received by the Department of Treasury and Finance (DTF) and on forwarded to the commission in the form of grants.</w:t>
      </w:r>
    </w:p>
    <w:tbl>
      <w:tblPr>
        <w:tblStyle w:val="PlainTable2"/>
        <w:tblW w:w="9039" w:type="dxa"/>
        <w:tblLayout w:type="fixed"/>
        <w:tblLook w:val="0000" w:firstRow="0" w:lastRow="0" w:firstColumn="0" w:lastColumn="0" w:noHBand="0" w:noVBand="0"/>
      </w:tblPr>
      <w:tblGrid>
        <w:gridCol w:w="6267"/>
        <w:gridCol w:w="1386"/>
        <w:gridCol w:w="1386"/>
      </w:tblGrid>
      <w:tr w:rsidR="005D72AE" w:rsidRPr="00743CD6" w14:paraId="22762C30" w14:textId="77777777" w:rsidTr="00FA2A1A">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6267" w:type="dxa"/>
          </w:tcPr>
          <w:p w14:paraId="0587F582" w14:textId="77777777" w:rsidR="005D72AE" w:rsidRPr="00743CD6" w:rsidRDefault="005D72AE" w:rsidP="00FA2A1A">
            <w:pPr>
              <w:pStyle w:val="Tablecopy"/>
              <w:rPr>
                <w:b/>
                <w:bCs/>
              </w:rPr>
            </w:pPr>
          </w:p>
        </w:tc>
        <w:tc>
          <w:tcPr>
            <w:cnfStyle w:val="000001000000" w:firstRow="0" w:lastRow="0" w:firstColumn="0" w:lastColumn="0" w:oddVBand="0" w:evenVBand="1" w:oddHBand="0" w:evenHBand="0" w:firstRowFirstColumn="0" w:firstRowLastColumn="0" w:lastRowFirstColumn="0" w:lastRowLastColumn="0"/>
            <w:tcW w:w="1386" w:type="dxa"/>
            <w:shd w:val="clear" w:color="auto" w:fill="F2F2F2" w:themeFill="background1" w:themeFillShade="F2"/>
          </w:tcPr>
          <w:p w14:paraId="4BE22F07" w14:textId="77777777" w:rsidR="005D72AE" w:rsidRPr="00743CD6" w:rsidRDefault="005D72AE" w:rsidP="00FA2A1A">
            <w:pPr>
              <w:pStyle w:val="Tablecopy"/>
              <w:rPr>
                <w:b/>
                <w:bCs/>
              </w:rPr>
            </w:pPr>
            <w:r w:rsidRPr="00743CD6">
              <w:rPr>
                <w:b/>
                <w:bCs/>
              </w:rPr>
              <w:t>2020</w:t>
            </w:r>
          </w:p>
        </w:tc>
        <w:tc>
          <w:tcPr>
            <w:cnfStyle w:val="000010000000" w:firstRow="0" w:lastRow="0" w:firstColumn="0" w:lastColumn="0" w:oddVBand="1" w:evenVBand="0" w:oddHBand="0" w:evenHBand="0" w:firstRowFirstColumn="0" w:firstRowLastColumn="0" w:lastRowFirstColumn="0" w:lastRowLastColumn="0"/>
            <w:tcW w:w="1386" w:type="dxa"/>
          </w:tcPr>
          <w:p w14:paraId="3F32FF3A" w14:textId="77777777" w:rsidR="005D72AE" w:rsidRPr="00743CD6" w:rsidRDefault="005D72AE" w:rsidP="00FA2A1A">
            <w:pPr>
              <w:pStyle w:val="Tablecopy"/>
              <w:rPr>
                <w:b/>
                <w:bCs/>
              </w:rPr>
            </w:pPr>
            <w:r w:rsidRPr="00743CD6">
              <w:rPr>
                <w:b/>
                <w:bCs/>
              </w:rPr>
              <w:t>2019</w:t>
            </w:r>
          </w:p>
        </w:tc>
      </w:tr>
      <w:tr w:rsidR="005D72AE" w:rsidRPr="00743CD6" w14:paraId="40752F6F" w14:textId="77777777" w:rsidTr="00FA2A1A">
        <w:trPr>
          <w:trHeight w:val="281"/>
        </w:trPr>
        <w:tc>
          <w:tcPr>
            <w:cnfStyle w:val="000010000000" w:firstRow="0" w:lastRow="0" w:firstColumn="0" w:lastColumn="0" w:oddVBand="1" w:evenVBand="0" w:oddHBand="0" w:evenHBand="0" w:firstRowFirstColumn="0" w:firstRowLastColumn="0" w:lastRowFirstColumn="0" w:lastRowLastColumn="0"/>
            <w:tcW w:w="6267" w:type="dxa"/>
          </w:tcPr>
          <w:p w14:paraId="2A89F84B" w14:textId="77777777" w:rsidR="005D72AE" w:rsidRPr="00743CD6" w:rsidRDefault="005D72AE" w:rsidP="00FA2A1A">
            <w:pPr>
              <w:pStyle w:val="Tablecopy"/>
              <w:rPr>
                <w:b/>
                <w:bCs/>
              </w:rPr>
            </w:pPr>
          </w:p>
        </w:tc>
        <w:tc>
          <w:tcPr>
            <w:cnfStyle w:val="000001000000" w:firstRow="0" w:lastRow="0" w:firstColumn="0" w:lastColumn="0" w:oddVBand="0" w:evenVBand="1" w:oddHBand="0" w:evenHBand="0" w:firstRowFirstColumn="0" w:firstRowLastColumn="0" w:lastRowFirstColumn="0" w:lastRowLastColumn="0"/>
            <w:tcW w:w="1386" w:type="dxa"/>
            <w:shd w:val="clear" w:color="auto" w:fill="F2F2F2" w:themeFill="background1" w:themeFillShade="F2"/>
          </w:tcPr>
          <w:p w14:paraId="0A071A55" w14:textId="77777777" w:rsidR="005D72AE" w:rsidRPr="00743CD6" w:rsidRDefault="005D72AE" w:rsidP="00FA2A1A">
            <w:pPr>
              <w:pStyle w:val="Tablecopy"/>
              <w:rPr>
                <w:b/>
                <w:bCs/>
              </w:rPr>
            </w:pPr>
            <w:r w:rsidRPr="00743CD6">
              <w:rPr>
                <w:b/>
                <w:bCs/>
              </w:rPr>
              <w:t>$</w:t>
            </w:r>
          </w:p>
        </w:tc>
        <w:tc>
          <w:tcPr>
            <w:cnfStyle w:val="000010000000" w:firstRow="0" w:lastRow="0" w:firstColumn="0" w:lastColumn="0" w:oddVBand="1" w:evenVBand="0" w:oddHBand="0" w:evenHBand="0" w:firstRowFirstColumn="0" w:firstRowLastColumn="0" w:lastRowFirstColumn="0" w:lastRowLastColumn="0"/>
            <w:tcW w:w="1386" w:type="dxa"/>
          </w:tcPr>
          <w:p w14:paraId="4D89F47D" w14:textId="77777777" w:rsidR="005D72AE" w:rsidRPr="00743CD6" w:rsidRDefault="005D72AE" w:rsidP="00FA2A1A">
            <w:pPr>
              <w:pStyle w:val="Tablecopy"/>
              <w:rPr>
                <w:b/>
                <w:bCs/>
              </w:rPr>
            </w:pPr>
            <w:r w:rsidRPr="00743CD6">
              <w:rPr>
                <w:b/>
                <w:bCs/>
              </w:rPr>
              <w:t>$</w:t>
            </w:r>
          </w:p>
        </w:tc>
      </w:tr>
      <w:tr w:rsidR="005D72AE" w:rsidRPr="00743CD6" w14:paraId="4DC2969C" w14:textId="77777777" w:rsidTr="00FA2A1A">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6267" w:type="dxa"/>
          </w:tcPr>
          <w:p w14:paraId="6AA98EDC" w14:textId="77777777" w:rsidR="005D72AE" w:rsidRPr="003D2364" w:rsidRDefault="005D72AE" w:rsidP="00FA2A1A">
            <w:pPr>
              <w:pStyle w:val="Tablecopy"/>
              <w:rPr>
                <w:b/>
                <w:bCs/>
              </w:rPr>
            </w:pPr>
            <w:r w:rsidRPr="003D2364">
              <w:rPr>
                <w:b/>
                <w:bCs/>
              </w:rPr>
              <w:t>Income from transactions</w:t>
            </w:r>
          </w:p>
        </w:tc>
        <w:tc>
          <w:tcPr>
            <w:cnfStyle w:val="000001000000" w:firstRow="0" w:lastRow="0" w:firstColumn="0" w:lastColumn="0" w:oddVBand="0" w:evenVBand="1" w:oddHBand="0" w:evenHBand="0" w:firstRowFirstColumn="0" w:firstRowLastColumn="0" w:lastRowFirstColumn="0" w:lastRowLastColumn="0"/>
            <w:tcW w:w="1386" w:type="dxa"/>
            <w:shd w:val="clear" w:color="auto" w:fill="F2F2F2" w:themeFill="background1" w:themeFillShade="F2"/>
          </w:tcPr>
          <w:p w14:paraId="05DA9073" w14:textId="77777777" w:rsidR="005D72AE" w:rsidRPr="00743CD6" w:rsidRDefault="005D72AE" w:rsidP="00FA2A1A">
            <w:pPr>
              <w:pStyle w:val="Tablecopy"/>
            </w:pPr>
          </w:p>
        </w:tc>
        <w:tc>
          <w:tcPr>
            <w:cnfStyle w:val="000010000000" w:firstRow="0" w:lastRow="0" w:firstColumn="0" w:lastColumn="0" w:oddVBand="1" w:evenVBand="0" w:oddHBand="0" w:evenHBand="0" w:firstRowFirstColumn="0" w:firstRowLastColumn="0" w:lastRowFirstColumn="0" w:lastRowLastColumn="0"/>
            <w:tcW w:w="1386" w:type="dxa"/>
          </w:tcPr>
          <w:p w14:paraId="2CE44F4A" w14:textId="77777777" w:rsidR="005D72AE" w:rsidRPr="00743CD6" w:rsidRDefault="005D72AE" w:rsidP="00FA2A1A">
            <w:pPr>
              <w:pStyle w:val="Tablecopy"/>
            </w:pPr>
          </w:p>
        </w:tc>
      </w:tr>
      <w:tr w:rsidR="005D72AE" w:rsidRPr="00743CD6" w14:paraId="0FC82E3D" w14:textId="77777777" w:rsidTr="00FA2A1A">
        <w:trPr>
          <w:trHeight w:val="281"/>
        </w:trPr>
        <w:tc>
          <w:tcPr>
            <w:cnfStyle w:val="000010000000" w:firstRow="0" w:lastRow="0" w:firstColumn="0" w:lastColumn="0" w:oddVBand="1" w:evenVBand="0" w:oddHBand="0" w:evenHBand="0" w:firstRowFirstColumn="0" w:firstRowLastColumn="0" w:lastRowFirstColumn="0" w:lastRowLastColumn="0"/>
            <w:tcW w:w="6267" w:type="dxa"/>
          </w:tcPr>
          <w:p w14:paraId="3D18B883" w14:textId="77777777" w:rsidR="005D72AE" w:rsidRPr="00743CD6" w:rsidRDefault="005D72AE" w:rsidP="00FA2A1A">
            <w:pPr>
              <w:pStyle w:val="Tablecopy"/>
            </w:pPr>
            <w:r w:rsidRPr="00743CD6">
              <w:t>Grants from Department of Treasury and Finance</w:t>
            </w:r>
          </w:p>
        </w:tc>
        <w:tc>
          <w:tcPr>
            <w:cnfStyle w:val="000001000000" w:firstRow="0" w:lastRow="0" w:firstColumn="0" w:lastColumn="0" w:oddVBand="0" w:evenVBand="1" w:oddHBand="0" w:evenHBand="0" w:firstRowFirstColumn="0" w:firstRowLastColumn="0" w:lastRowFirstColumn="0" w:lastRowLastColumn="0"/>
            <w:tcW w:w="1386" w:type="dxa"/>
            <w:shd w:val="clear" w:color="auto" w:fill="F2F2F2" w:themeFill="background1" w:themeFillShade="F2"/>
          </w:tcPr>
          <w:p w14:paraId="786B4B42" w14:textId="77777777" w:rsidR="005D72AE" w:rsidRPr="00743CD6" w:rsidRDefault="005D72AE" w:rsidP="00FA2A1A">
            <w:pPr>
              <w:pStyle w:val="Tablecopy"/>
            </w:pPr>
            <w:r w:rsidRPr="00743CD6">
              <w:t>27,877,544</w:t>
            </w:r>
          </w:p>
        </w:tc>
        <w:tc>
          <w:tcPr>
            <w:cnfStyle w:val="000010000000" w:firstRow="0" w:lastRow="0" w:firstColumn="0" w:lastColumn="0" w:oddVBand="1" w:evenVBand="0" w:oddHBand="0" w:evenHBand="0" w:firstRowFirstColumn="0" w:firstRowLastColumn="0" w:lastRowFirstColumn="0" w:lastRowLastColumn="0"/>
            <w:tcW w:w="1386" w:type="dxa"/>
          </w:tcPr>
          <w:p w14:paraId="473322BB" w14:textId="77777777" w:rsidR="005D72AE" w:rsidRPr="00743CD6" w:rsidRDefault="005D72AE" w:rsidP="00FA2A1A">
            <w:pPr>
              <w:pStyle w:val="Tablecopy"/>
            </w:pPr>
            <w:r w:rsidRPr="00743CD6">
              <w:t>24,972,374</w:t>
            </w:r>
          </w:p>
        </w:tc>
      </w:tr>
      <w:tr w:rsidR="005D72AE" w:rsidRPr="00743CD6" w14:paraId="41089485" w14:textId="77777777" w:rsidTr="00FA2A1A">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6267" w:type="dxa"/>
          </w:tcPr>
          <w:p w14:paraId="0DA28685" w14:textId="77777777" w:rsidR="005D72AE" w:rsidRPr="00743CD6" w:rsidRDefault="005D72AE" w:rsidP="00FA2A1A">
            <w:pPr>
              <w:pStyle w:val="Tablecopy"/>
            </w:pPr>
            <w:r w:rsidRPr="00743CD6">
              <w:t>Grants from other government departments</w:t>
            </w:r>
          </w:p>
        </w:tc>
        <w:tc>
          <w:tcPr>
            <w:cnfStyle w:val="000001000000" w:firstRow="0" w:lastRow="0" w:firstColumn="0" w:lastColumn="0" w:oddVBand="0" w:evenVBand="1" w:oddHBand="0" w:evenHBand="0" w:firstRowFirstColumn="0" w:firstRowLastColumn="0" w:lastRowFirstColumn="0" w:lastRowLastColumn="0"/>
            <w:tcW w:w="1386" w:type="dxa"/>
            <w:shd w:val="clear" w:color="auto" w:fill="F2F2F2" w:themeFill="background1" w:themeFillShade="F2"/>
          </w:tcPr>
          <w:p w14:paraId="2F0F642D" w14:textId="77777777" w:rsidR="005D72AE" w:rsidRPr="00743CD6" w:rsidRDefault="005D72AE" w:rsidP="00FA2A1A">
            <w:pPr>
              <w:pStyle w:val="Tablecopy"/>
            </w:pPr>
            <w:r w:rsidRPr="00743CD6">
              <w:t>557,123</w:t>
            </w:r>
          </w:p>
        </w:tc>
        <w:tc>
          <w:tcPr>
            <w:cnfStyle w:val="000010000000" w:firstRow="0" w:lastRow="0" w:firstColumn="0" w:lastColumn="0" w:oddVBand="1" w:evenVBand="0" w:oddHBand="0" w:evenHBand="0" w:firstRowFirstColumn="0" w:firstRowLastColumn="0" w:lastRowFirstColumn="0" w:lastRowLastColumn="0"/>
            <w:tcW w:w="1386" w:type="dxa"/>
          </w:tcPr>
          <w:p w14:paraId="7C82CD3D" w14:textId="77777777" w:rsidR="005D72AE" w:rsidRPr="00743CD6" w:rsidRDefault="005D72AE" w:rsidP="00FA2A1A">
            <w:pPr>
              <w:pStyle w:val="Tablecopy"/>
            </w:pPr>
            <w:r w:rsidRPr="00743CD6">
              <w:t>-</w:t>
            </w:r>
          </w:p>
        </w:tc>
      </w:tr>
      <w:tr w:rsidR="005D72AE" w:rsidRPr="00743CD6" w14:paraId="36F648CA" w14:textId="77777777" w:rsidTr="00FA2A1A">
        <w:trPr>
          <w:trHeight w:val="281"/>
        </w:trPr>
        <w:tc>
          <w:tcPr>
            <w:cnfStyle w:val="000010000000" w:firstRow="0" w:lastRow="0" w:firstColumn="0" w:lastColumn="0" w:oddVBand="1" w:evenVBand="0" w:oddHBand="0" w:evenHBand="0" w:firstRowFirstColumn="0" w:firstRowLastColumn="0" w:lastRowFirstColumn="0" w:lastRowLastColumn="0"/>
            <w:tcW w:w="6267" w:type="dxa"/>
          </w:tcPr>
          <w:p w14:paraId="013699CC" w14:textId="77777777" w:rsidR="005D72AE" w:rsidRPr="00743CD6" w:rsidRDefault="005D72AE" w:rsidP="00FA2A1A">
            <w:pPr>
              <w:pStyle w:val="Tablecopy"/>
            </w:pPr>
            <w:r w:rsidRPr="00743CD6">
              <w:t>Resources received free of charge</w:t>
            </w:r>
          </w:p>
        </w:tc>
        <w:tc>
          <w:tcPr>
            <w:cnfStyle w:val="000001000000" w:firstRow="0" w:lastRow="0" w:firstColumn="0" w:lastColumn="0" w:oddVBand="0" w:evenVBand="1" w:oddHBand="0" w:evenHBand="0" w:firstRowFirstColumn="0" w:firstRowLastColumn="0" w:lastRowFirstColumn="0" w:lastRowLastColumn="0"/>
            <w:tcW w:w="1386" w:type="dxa"/>
            <w:shd w:val="clear" w:color="auto" w:fill="F2F2F2" w:themeFill="background1" w:themeFillShade="F2"/>
          </w:tcPr>
          <w:p w14:paraId="26B6D4AB" w14:textId="77777777" w:rsidR="005D72AE" w:rsidRPr="00743CD6" w:rsidRDefault="005D72AE" w:rsidP="00FA2A1A">
            <w:pPr>
              <w:pStyle w:val="Tablecopy"/>
            </w:pPr>
            <w:r w:rsidRPr="00743CD6">
              <w:t>293,489</w:t>
            </w:r>
          </w:p>
        </w:tc>
        <w:tc>
          <w:tcPr>
            <w:cnfStyle w:val="000010000000" w:firstRow="0" w:lastRow="0" w:firstColumn="0" w:lastColumn="0" w:oddVBand="1" w:evenVBand="0" w:oddHBand="0" w:evenHBand="0" w:firstRowFirstColumn="0" w:firstRowLastColumn="0" w:lastRowFirstColumn="0" w:lastRowLastColumn="0"/>
            <w:tcW w:w="1386" w:type="dxa"/>
          </w:tcPr>
          <w:p w14:paraId="4F096862" w14:textId="77777777" w:rsidR="005D72AE" w:rsidRPr="00743CD6" w:rsidRDefault="005D72AE" w:rsidP="00FA2A1A">
            <w:pPr>
              <w:pStyle w:val="Tablecopy"/>
            </w:pPr>
            <w:r w:rsidRPr="00743CD6">
              <w:t>377,165</w:t>
            </w:r>
          </w:p>
        </w:tc>
      </w:tr>
      <w:tr w:rsidR="005D72AE" w:rsidRPr="00743CD6" w14:paraId="5999EFBB" w14:textId="77777777" w:rsidTr="00FA2A1A">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6267" w:type="dxa"/>
          </w:tcPr>
          <w:p w14:paraId="21532CA0" w14:textId="77777777" w:rsidR="005D72AE" w:rsidRPr="009B2D84" w:rsidRDefault="005D72AE" w:rsidP="00FA2A1A">
            <w:pPr>
              <w:pStyle w:val="Tablecopy"/>
              <w:rPr>
                <w:b/>
                <w:bCs/>
              </w:rPr>
            </w:pPr>
            <w:r w:rsidRPr="009B2D84">
              <w:rPr>
                <w:b/>
                <w:bCs/>
              </w:rPr>
              <w:t>Total income from transactions</w:t>
            </w:r>
          </w:p>
        </w:tc>
        <w:tc>
          <w:tcPr>
            <w:cnfStyle w:val="000001000000" w:firstRow="0" w:lastRow="0" w:firstColumn="0" w:lastColumn="0" w:oddVBand="0" w:evenVBand="1" w:oddHBand="0" w:evenHBand="0" w:firstRowFirstColumn="0" w:firstRowLastColumn="0" w:lastRowFirstColumn="0" w:lastRowLastColumn="0"/>
            <w:tcW w:w="1386" w:type="dxa"/>
            <w:shd w:val="clear" w:color="auto" w:fill="F2F2F2" w:themeFill="background1" w:themeFillShade="F2"/>
          </w:tcPr>
          <w:p w14:paraId="0EE3B54B" w14:textId="77777777" w:rsidR="005D72AE" w:rsidRPr="009B2D84" w:rsidRDefault="005D72AE" w:rsidP="00FA2A1A">
            <w:pPr>
              <w:pStyle w:val="Tablecopy"/>
              <w:rPr>
                <w:b/>
                <w:bCs/>
              </w:rPr>
            </w:pPr>
            <w:r w:rsidRPr="009B2D84">
              <w:rPr>
                <w:b/>
                <w:bCs/>
              </w:rPr>
              <w:t>28,728,156</w:t>
            </w:r>
          </w:p>
        </w:tc>
        <w:tc>
          <w:tcPr>
            <w:cnfStyle w:val="000010000000" w:firstRow="0" w:lastRow="0" w:firstColumn="0" w:lastColumn="0" w:oddVBand="1" w:evenVBand="0" w:oddHBand="0" w:evenHBand="0" w:firstRowFirstColumn="0" w:firstRowLastColumn="0" w:lastRowFirstColumn="0" w:lastRowLastColumn="0"/>
            <w:tcW w:w="1386" w:type="dxa"/>
          </w:tcPr>
          <w:p w14:paraId="50AEB671" w14:textId="77777777" w:rsidR="005D72AE" w:rsidRPr="009B2D84" w:rsidRDefault="005D72AE" w:rsidP="00FA2A1A">
            <w:pPr>
              <w:pStyle w:val="Tablecopy"/>
              <w:rPr>
                <w:b/>
                <w:bCs/>
              </w:rPr>
            </w:pPr>
            <w:r w:rsidRPr="009B2D84">
              <w:rPr>
                <w:b/>
                <w:bCs/>
              </w:rPr>
              <w:t>25,349,539</w:t>
            </w:r>
          </w:p>
        </w:tc>
      </w:tr>
    </w:tbl>
    <w:p w14:paraId="018EBB3E" w14:textId="77777777" w:rsidR="005D72AE" w:rsidRPr="00844A25" w:rsidRDefault="005D72AE" w:rsidP="005D72AE">
      <w:pPr>
        <w:rPr>
          <w:lang w:val="en-US"/>
        </w:rPr>
      </w:pPr>
      <w:r w:rsidRPr="00844A25">
        <w:rPr>
          <w:lang w:val="en-US"/>
        </w:rPr>
        <w:t>Income is recognised to the extent it is probable the economic benefits will flow to the commission and the income can be reliably measured. Where applicable, amounts disclosed as income are net of returns, allowances, duties and taxes. All amounts of income over which the commission does not have control</w:t>
      </w:r>
      <w:r>
        <w:rPr>
          <w:lang w:val="en-US"/>
        </w:rPr>
        <w:t xml:space="preserve"> </w:t>
      </w:r>
      <w:r w:rsidRPr="00844A25">
        <w:rPr>
          <w:lang w:val="en-US"/>
        </w:rPr>
        <w:t>are disclosed as administered income (see Note 4).</w:t>
      </w:r>
    </w:p>
    <w:p w14:paraId="5BB1F8FD" w14:textId="77777777" w:rsidR="005D72AE" w:rsidRPr="00844A25" w:rsidRDefault="005D72AE" w:rsidP="005D72AE">
      <w:pPr>
        <w:pStyle w:val="Heading3"/>
      </w:pPr>
      <w:r w:rsidRPr="00844A25">
        <w:lastRenderedPageBreak/>
        <w:t>Grants</w:t>
      </w:r>
    </w:p>
    <w:p w14:paraId="55A9D5FB" w14:textId="77777777" w:rsidR="005D72AE" w:rsidRPr="00844A25" w:rsidRDefault="005D72AE" w:rsidP="005D72AE">
      <w:pPr>
        <w:rPr>
          <w:lang w:val="en-US"/>
        </w:rPr>
      </w:pPr>
      <w:r w:rsidRPr="00844A25">
        <w:rPr>
          <w:lang w:val="en-US"/>
        </w:rPr>
        <w:t>The impact of initially applying AASB 1058 on the commission’s grant revenue from DTF is described in Note 9.2.3. Due to the modified retrospective transition method chosen in applying AASB 1058, comparative information has not been restated to reflect the new requirements. The adoption of AASB 1058 did not have an impact on comprehensive operating statement and the cash flow statement for the financial year.</w:t>
      </w:r>
    </w:p>
    <w:p w14:paraId="6F82DBD7" w14:textId="77777777" w:rsidR="005D72AE" w:rsidRPr="00844A25" w:rsidRDefault="005D72AE" w:rsidP="005D72AE">
      <w:pPr>
        <w:rPr>
          <w:lang w:val="en-US"/>
        </w:rPr>
      </w:pPr>
      <w:r w:rsidRPr="00844A25">
        <w:rPr>
          <w:lang w:val="en-US"/>
        </w:rPr>
        <w:t>Income from grants that are enforceable and with sufficiently specific performance obligations and accounted for as revenue from contracts with customers is recognised when the commission satisfies the performance obligation. This is recognised based on the consideration specified in the funding agreement and to the extent that it is highly probable a significant reversal of the revenue will not occur. The funding payments are normally received in advance or shortly after the relevant obligation is satisfied.</w:t>
      </w:r>
    </w:p>
    <w:p w14:paraId="0A38C942" w14:textId="77777777" w:rsidR="005D72AE" w:rsidRPr="00844A25" w:rsidRDefault="005D72AE" w:rsidP="005D72AE">
      <w:pPr>
        <w:rPr>
          <w:lang w:val="en-US"/>
        </w:rPr>
      </w:pPr>
      <w:r w:rsidRPr="00844A25">
        <w:rPr>
          <w:lang w:val="en-US"/>
        </w:rPr>
        <w:t>Income from grants without any sufficiently specific performance obligations, or that are not enforceable,</w:t>
      </w:r>
      <w:r>
        <w:rPr>
          <w:lang w:val="en-US"/>
        </w:rPr>
        <w:t xml:space="preserve"> </w:t>
      </w:r>
      <w:r w:rsidRPr="00844A25">
        <w:rPr>
          <w:lang w:val="en-US"/>
        </w:rPr>
        <w:t>is recognised when the commission receives the cash.</w:t>
      </w:r>
    </w:p>
    <w:p w14:paraId="3F8DB015" w14:textId="77777777" w:rsidR="005D72AE" w:rsidRPr="00844A25" w:rsidRDefault="005D72AE" w:rsidP="005D72AE">
      <w:pPr>
        <w:rPr>
          <w:lang w:val="en-US"/>
        </w:rPr>
      </w:pPr>
      <w:r w:rsidRPr="00844A25">
        <w:rPr>
          <w:lang w:val="en-US"/>
        </w:rPr>
        <w:t>The commission has determined grant revenue from other government departments to be enforceable and with sufficiently specific performance obligations to be accounted for as revenue from contracts with customers in accordance with AASB 15.</w:t>
      </w:r>
    </w:p>
    <w:p w14:paraId="39A8FDEE" w14:textId="77777777" w:rsidR="005D72AE" w:rsidRPr="00844A25" w:rsidRDefault="005D72AE" w:rsidP="005D72AE">
      <w:pPr>
        <w:pStyle w:val="Heading3"/>
      </w:pPr>
      <w:r w:rsidRPr="00844A25">
        <w:t>Resources received free of charge</w:t>
      </w:r>
    </w:p>
    <w:p w14:paraId="2322674F" w14:textId="77777777" w:rsidR="005D72AE" w:rsidRPr="00844A25" w:rsidRDefault="005D72AE" w:rsidP="005D72AE">
      <w:pPr>
        <w:rPr>
          <w:lang w:val="en-US"/>
        </w:rPr>
      </w:pPr>
      <w:r w:rsidRPr="00844A25">
        <w:rPr>
          <w:lang w:val="en-US"/>
        </w:rPr>
        <w:t xml:space="preserve">DTF provides certain administrative services to support the operations of the commission which is recognised as services provided as resources received free of charge. The corresponding expense is included as other expenses in Note 3.2. </w:t>
      </w:r>
    </w:p>
    <w:p w14:paraId="79E1FEFD" w14:textId="77777777" w:rsidR="005D72AE" w:rsidRDefault="005D72AE" w:rsidP="005D72AE">
      <w:pPr>
        <w:pStyle w:val="Heading2"/>
      </w:pPr>
      <w:bookmarkStart w:id="7" w:name="_Toc58838598"/>
      <w:bookmarkStart w:id="8" w:name="_Toc58838733"/>
      <w:bookmarkStart w:id="9" w:name="_Toc58869005"/>
      <w:r w:rsidRPr="00844A25">
        <w:t>Note 3. The cost of delivering services</w:t>
      </w:r>
      <w:bookmarkEnd w:id="7"/>
      <w:bookmarkEnd w:id="8"/>
      <w:bookmarkEnd w:id="9"/>
    </w:p>
    <w:p w14:paraId="6E002013" w14:textId="77777777" w:rsidR="005D72AE" w:rsidRDefault="005D72AE" w:rsidP="005D72AE">
      <w:pPr>
        <w:rPr>
          <w:lang w:val="en-US"/>
        </w:rPr>
      </w:pPr>
      <w:r w:rsidRPr="00844A25">
        <w:rPr>
          <w:lang w:val="en-US"/>
        </w:rPr>
        <w:t>This section provides an account of the expenses incurred by the commission</w:t>
      </w:r>
      <w:r>
        <w:rPr>
          <w:lang w:val="en-US"/>
        </w:rPr>
        <w:t xml:space="preserve"> </w:t>
      </w:r>
      <w:r w:rsidRPr="00844A25">
        <w:rPr>
          <w:lang w:val="en-US"/>
        </w:rPr>
        <w:t>in delivering services.</w:t>
      </w:r>
    </w:p>
    <w:p w14:paraId="15DB75F6" w14:textId="77777777" w:rsidR="005D72AE" w:rsidRPr="00844A25" w:rsidRDefault="005D72AE" w:rsidP="005D72AE">
      <w:pPr>
        <w:rPr>
          <w:lang w:val="en-US"/>
        </w:rPr>
      </w:pPr>
      <w:r w:rsidRPr="00844A25">
        <w:rPr>
          <w:lang w:val="en-US"/>
        </w:rPr>
        <w:t>3.1. Employee expenses</w:t>
      </w:r>
    </w:p>
    <w:p w14:paraId="1F4917FD" w14:textId="77777777" w:rsidR="005D72AE" w:rsidRPr="00844A25" w:rsidRDefault="005D72AE" w:rsidP="005D72AE">
      <w:pPr>
        <w:rPr>
          <w:lang w:val="en-US"/>
        </w:rPr>
      </w:pPr>
      <w:r w:rsidRPr="00844A25">
        <w:rPr>
          <w:lang w:val="en-US"/>
        </w:rPr>
        <w:tab/>
        <w:t>3.1.1.</w:t>
      </w:r>
      <w:r>
        <w:rPr>
          <w:lang w:val="en-US"/>
        </w:rPr>
        <w:t xml:space="preserve"> </w:t>
      </w:r>
      <w:r w:rsidRPr="00844A25">
        <w:rPr>
          <w:lang w:val="en-US"/>
        </w:rPr>
        <w:t>Employee expenses in the</w:t>
      </w:r>
      <w:r>
        <w:rPr>
          <w:lang w:val="en-US"/>
        </w:rPr>
        <w:t xml:space="preserve"> </w:t>
      </w:r>
      <w:r w:rsidRPr="00844A25">
        <w:rPr>
          <w:lang w:val="en-US"/>
        </w:rPr>
        <w:t>comprehensive operating statement</w:t>
      </w:r>
    </w:p>
    <w:p w14:paraId="522A1289" w14:textId="77777777" w:rsidR="005D72AE" w:rsidRPr="00844A25" w:rsidRDefault="005D72AE" w:rsidP="005D72AE">
      <w:pPr>
        <w:rPr>
          <w:lang w:val="en-US"/>
        </w:rPr>
      </w:pPr>
      <w:r w:rsidRPr="00844A25">
        <w:rPr>
          <w:lang w:val="en-US"/>
        </w:rPr>
        <w:tab/>
        <w:t>3.1.2.</w:t>
      </w:r>
      <w:r>
        <w:rPr>
          <w:lang w:val="en-US"/>
        </w:rPr>
        <w:t xml:space="preserve"> </w:t>
      </w:r>
      <w:r w:rsidRPr="00844A25">
        <w:rPr>
          <w:lang w:val="en-US"/>
        </w:rPr>
        <w:t>Employee related provision in the</w:t>
      </w:r>
      <w:r>
        <w:rPr>
          <w:lang w:val="en-US"/>
        </w:rPr>
        <w:t xml:space="preserve"> </w:t>
      </w:r>
      <w:r w:rsidRPr="00844A25">
        <w:rPr>
          <w:lang w:val="en-US"/>
        </w:rPr>
        <w:t>balance sheet</w:t>
      </w:r>
    </w:p>
    <w:p w14:paraId="3315F281" w14:textId="77777777" w:rsidR="005D72AE" w:rsidRPr="00C80EB8" w:rsidRDefault="005D72AE" w:rsidP="005D72AE">
      <w:pPr>
        <w:rPr>
          <w:lang w:val="en-US"/>
        </w:rPr>
      </w:pPr>
      <w:r w:rsidRPr="00844A25">
        <w:rPr>
          <w:lang w:val="en-US"/>
        </w:rPr>
        <w:t>3.2. Supplies and services</w:t>
      </w:r>
    </w:p>
    <w:p w14:paraId="6C050572" w14:textId="77777777" w:rsidR="005D72AE" w:rsidRPr="00844A25" w:rsidRDefault="005D72AE" w:rsidP="005D72AE">
      <w:pPr>
        <w:pStyle w:val="Heading3"/>
      </w:pPr>
      <w:r w:rsidRPr="00844A25">
        <w:t>Expenses incurred in delivery of services</w:t>
      </w:r>
    </w:p>
    <w:tbl>
      <w:tblPr>
        <w:tblStyle w:val="PlainTable2"/>
        <w:tblW w:w="0" w:type="auto"/>
        <w:tblLayout w:type="fixed"/>
        <w:tblLook w:val="0000" w:firstRow="0" w:lastRow="0" w:firstColumn="0" w:lastColumn="0" w:noHBand="0" w:noVBand="0"/>
      </w:tblPr>
      <w:tblGrid>
        <w:gridCol w:w="4823"/>
        <w:gridCol w:w="1369"/>
        <w:gridCol w:w="1369"/>
        <w:gridCol w:w="1369"/>
      </w:tblGrid>
      <w:tr w:rsidR="005D72AE" w:rsidRPr="00844A25" w14:paraId="6F3328E4" w14:textId="77777777" w:rsidTr="00FA2A1A">
        <w:trPr>
          <w:cnfStyle w:val="000000100000" w:firstRow="0" w:lastRow="0" w:firstColumn="0" w:lastColumn="0" w:oddVBand="0" w:evenVBand="0" w:oddHBand="1" w:evenHBand="0" w:firstRowFirstColumn="0" w:firstRowLastColumn="0" w:lastRowFirstColumn="0" w:lastRowLastColumn="0"/>
          <w:trHeight w:val="521"/>
        </w:trPr>
        <w:tc>
          <w:tcPr>
            <w:cnfStyle w:val="000010000000" w:firstRow="0" w:lastRow="0" w:firstColumn="0" w:lastColumn="0" w:oddVBand="1" w:evenVBand="0" w:oddHBand="0" w:evenHBand="0" w:firstRowFirstColumn="0" w:firstRowLastColumn="0" w:lastRowFirstColumn="0" w:lastRowLastColumn="0"/>
            <w:tcW w:w="4823" w:type="dxa"/>
          </w:tcPr>
          <w:p w14:paraId="17AEC44D" w14:textId="77777777" w:rsidR="005D72AE" w:rsidRPr="00C80EB8" w:rsidRDefault="005D72AE" w:rsidP="00FA2A1A">
            <w:pPr>
              <w:pStyle w:val="Tablecopy"/>
              <w:rPr>
                <w:b/>
                <w:bCs/>
              </w:rPr>
            </w:pPr>
          </w:p>
        </w:tc>
        <w:tc>
          <w:tcPr>
            <w:cnfStyle w:val="000001000000" w:firstRow="0" w:lastRow="0" w:firstColumn="0" w:lastColumn="0" w:oddVBand="0" w:evenVBand="1" w:oddHBand="0" w:evenHBand="0" w:firstRowFirstColumn="0" w:firstRowLastColumn="0" w:lastRowFirstColumn="0" w:lastRowLastColumn="0"/>
            <w:tcW w:w="1369" w:type="dxa"/>
          </w:tcPr>
          <w:p w14:paraId="26AD8861" w14:textId="77777777" w:rsidR="005D72AE" w:rsidRPr="00C80EB8" w:rsidRDefault="005D72AE" w:rsidP="00FA2A1A">
            <w:pPr>
              <w:pStyle w:val="Tablecopy"/>
              <w:rPr>
                <w:b/>
                <w:bCs/>
              </w:rPr>
            </w:pPr>
          </w:p>
        </w:tc>
        <w:tc>
          <w:tcPr>
            <w:cnfStyle w:val="000010000000" w:firstRow="0" w:lastRow="0" w:firstColumn="0" w:lastColumn="0" w:oddVBand="1" w:evenVBand="0" w:oddHBand="0" w:evenHBand="0" w:firstRowFirstColumn="0" w:firstRowLastColumn="0" w:lastRowFirstColumn="0" w:lastRowLastColumn="0"/>
            <w:tcW w:w="1369" w:type="dxa"/>
            <w:shd w:val="clear" w:color="auto" w:fill="F2F2F2" w:themeFill="background1" w:themeFillShade="F2"/>
          </w:tcPr>
          <w:p w14:paraId="6A55B2E0" w14:textId="77777777" w:rsidR="005D72AE" w:rsidRPr="00C80EB8" w:rsidRDefault="005D72AE" w:rsidP="00FA2A1A">
            <w:pPr>
              <w:pStyle w:val="Tablecopy"/>
              <w:rPr>
                <w:b/>
                <w:bCs/>
              </w:rPr>
            </w:pPr>
            <w:r w:rsidRPr="00C80EB8">
              <w:rPr>
                <w:b/>
                <w:bCs/>
              </w:rPr>
              <w:t>2020</w:t>
            </w:r>
          </w:p>
        </w:tc>
        <w:tc>
          <w:tcPr>
            <w:cnfStyle w:val="000001000000" w:firstRow="0" w:lastRow="0" w:firstColumn="0" w:lastColumn="0" w:oddVBand="0" w:evenVBand="1" w:oddHBand="0" w:evenHBand="0" w:firstRowFirstColumn="0" w:firstRowLastColumn="0" w:lastRowFirstColumn="0" w:lastRowLastColumn="0"/>
            <w:tcW w:w="1369" w:type="dxa"/>
          </w:tcPr>
          <w:p w14:paraId="74BC19B5" w14:textId="77777777" w:rsidR="005D72AE" w:rsidRPr="00C80EB8" w:rsidRDefault="005D72AE" w:rsidP="00FA2A1A">
            <w:pPr>
              <w:pStyle w:val="Tablecopy"/>
              <w:rPr>
                <w:b/>
                <w:bCs/>
              </w:rPr>
            </w:pPr>
            <w:r w:rsidRPr="00C80EB8">
              <w:rPr>
                <w:b/>
                <w:bCs/>
              </w:rPr>
              <w:t>2019</w:t>
            </w:r>
          </w:p>
        </w:tc>
      </w:tr>
      <w:tr w:rsidR="005D72AE" w:rsidRPr="00844A25" w14:paraId="266BD2E7" w14:textId="77777777" w:rsidTr="00FA2A1A">
        <w:trPr>
          <w:trHeight w:val="521"/>
        </w:trPr>
        <w:tc>
          <w:tcPr>
            <w:cnfStyle w:val="000010000000" w:firstRow="0" w:lastRow="0" w:firstColumn="0" w:lastColumn="0" w:oddVBand="1" w:evenVBand="0" w:oddHBand="0" w:evenHBand="0" w:firstRowFirstColumn="0" w:firstRowLastColumn="0" w:lastRowFirstColumn="0" w:lastRowLastColumn="0"/>
            <w:tcW w:w="4823" w:type="dxa"/>
          </w:tcPr>
          <w:p w14:paraId="18B4A1A6" w14:textId="77777777" w:rsidR="005D72AE" w:rsidRPr="00C80EB8" w:rsidRDefault="005D72AE" w:rsidP="00FA2A1A">
            <w:pPr>
              <w:pStyle w:val="Tablecopy"/>
              <w:rPr>
                <w:b/>
                <w:bCs/>
              </w:rPr>
            </w:pPr>
          </w:p>
        </w:tc>
        <w:tc>
          <w:tcPr>
            <w:cnfStyle w:val="000001000000" w:firstRow="0" w:lastRow="0" w:firstColumn="0" w:lastColumn="0" w:oddVBand="0" w:evenVBand="1" w:oddHBand="0" w:evenHBand="0" w:firstRowFirstColumn="0" w:firstRowLastColumn="0" w:lastRowFirstColumn="0" w:lastRowLastColumn="0"/>
            <w:tcW w:w="1369" w:type="dxa"/>
          </w:tcPr>
          <w:p w14:paraId="64AA29A8" w14:textId="77777777" w:rsidR="005D72AE" w:rsidRPr="00C80EB8" w:rsidRDefault="005D72AE" w:rsidP="00FA2A1A">
            <w:pPr>
              <w:pStyle w:val="Tablecopy"/>
              <w:rPr>
                <w:b/>
                <w:bCs/>
              </w:rPr>
            </w:pPr>
            <w:r w:rsidRPr="00C80EB8">
              <w:rPr>
                <w:b/>
                <w:bCs/>
              </w:rPr>
              <w:t>Notes</w:t>
            </w:r>
          </w:p>
        </w:tc>
        <w:tc>
          <w:tcPr>
            <w:cnfStyle w:val="000010000000" w:firstRow="0" w:lastRow="0" w:firstColumn="0" w:lastColumn="0" w:oddVBand="1" w:evenVBand="0" w:oddHBand="0" w:evenHBand="0" w:firstRowFirstColumn="0" w:firstRowLastColumn="0" w:lastRowFirstColumn="0" w:lastRowLastColumn="0"/>
            <w:tcW w:w="1369" w:type="dxa"/>
            <w:shd w:val="clear" w:color="auto" w:fill="F2F2F2" w:themeFill="background1" w:themeFillShade="F2"/>
          </w:tcPr>
          <w:p w14:paraId="6F0CEF64" w14:textId="77777777" w:rsidR="005D72AE" w:rsidRPr="00C80EB8" w:rsidRDefault="005D72AE" w:rsidP="00FA2A1A">
            <w:pPr>
              <w:pStyle w:val="Tablecopy"/>
              <w:rPr>
                <w:b/>
                <w:bCs/>
              </w:rPr>
            </w:pPr>
            <w:r w:rsidRPr="00C80EB8">
              <w:rPr>
                <w:b/>
                <w:bCs/>
              </w:rPr>
              <w:t>$</w:t>
            </w:r>
          </w:p>
        </w:tc>
        <w:tc>
          <w:tcPr>
            <w:cnfStyle w:val="000001000000" w:firstRow="0" w:lastRow="0" w:firstColumn="0" w:lastColumn="0" w:oddVBand="0" w:evenVBand="1" w:oddHBand="0" w:evenHBand="0" w:firstRowFirstColumn="0" w:firstRowLastColumn="0" w:lastRowFirstColumn="0" w:lastRowLastColumn="0"/>
            <w:tcW w:w="1369" w:type="dxa"/>
          </w:tcPr>
          <w:p w14:paraId="5E48B59B" w14:textId="77777777" w:rsidR="005D72AE" w:rsidRPr="00C80EB8" w:rsidRDefault="005D72AE" w:rsidP="00FA2A1A">
            <w:pPr>
              <w:pStyle w:val="Tablecopy"/>
              <w:rPr>
                <w:b/>
                <w:bCs/>
              </w:rPr>
            </w:pPr>
            <w:r w:rsidRPr="00C80EB8">
              <w:rPr>
                <w:b/>
                <w:bCs/>
              </w:rPr>
              <w:t>$</w:t>
            </w:r>
          </w:p>
        </w:tc>
      </w:tr>
      <w:tr w:rsidR="005D72AE" w:rsidRPr="00844A25" w14:paraId="299619BC" w14:textId="77777777" w:rsidTr="00FA2A1A">
        <w:trPr>
          <w:cnfStyle w:val="000000100000" w:firstRow="0" w:lastRow="0" w:firstColumn="0" w:lastColumn="0" w:oddVBand="0" w:evenVBand="0" w:oddHBand="1" w:evenHBand="0" w:firstRowFirstColumn="0" w:firstRowLastColumn="0" w:lastRowFirstColumn="0" w:lastRowLastColumn="0"/>
          <w:trHeight w:val="496"/>
        </w:trPr>
        <w:tc>
          <w:tcPr>
            <w:cnfStyle w:val="000010000000" w:firstRow="0" w:lastRow="0" w:firstColumn="0" w:lastColumn="0" w:oddVBand="1" w:evenVBand="0" w:oddHBand="0" w:evenHBand="0" w:firstRowFirstColumn="0" w:firstRowLastColumn="0" w:lastRowFirstColumn="0" w:lastRowLastColumn="0"/>
            <w:tcW w:w="4823" w:type="dxa"/>
          </w:tcPr>
          <w:p w14:paraId="1186A85C" w14:textId="77777777" w:rsidR="005D72AE" w:rsidRPr="00844A25" w:rsidRDefault="005D72AE" w:rsidP="00FA2A1A">
            <w:pPr>
              <w:pStyle w:val="Tablecopy"/>
            </w:pPr>
            <w:r w:rsidRPr="00844A25">
              <w:t xml:space="preserve">Employee expenses </w:t>
            </w:r>
          </w:p>
        </w:tc>
        <w:tc>
          <w:tcPr>
            <w:cnfStyle w:val="000001000000" w:firstRow="0" w:lastRow="0" w:firstColumn="0" w:lastColumn="0" w:oddVBand="0" w:evenVBand="1" w:oddHBand="0" w:evenHBand="0" w:firstRowFirstColumn="0" w:firstRowLastColumn="0" w:lastRowFirstColumn="0" w:lastRowLastColumn="0"/>
            <w:tcW w:w="1369" w:type="dxa"/>
          </w:tcPr>
          <w:p w14:paraId="75F58CFD" w14:textId="77777777" w:rsidR="005D72AE" w:rsidRPr="00844A25" w:rsidRDefault="005D72AE" w:rsidP="00FA2A1A">
            <w:pPr>
              <w:pStyle w:val="Tablecopy"/>
            </w:pPr>
            <w:r w:rsidRPr="00844A25">
              <w:t>3.1.1</w:t>
            </w:r>
          </w:p>
        </w:tc>
        <w:tc>
          <w:tcPr>
            <w:cnfStyle w:val="000010000000" w:firstRow="0" w:lastRow="0" w:firstColumn="0" w:lastColumn="0" w:oddVBand="1" w:evenVBand="0" w:oddHBand="0" w:evenHBand="0" w:firstRowFirstColumn="0" w:firstRowLastColumn="0" w:lastRowFirstColumn="0" w:lastRowLastColumn="0"/>
            <w:tcW w:w="1369" w:type="dxa"/>
            <w:shd w:val="clear" w:color="auto" w:fill="F2F2F2" w:themeFill="background1" w:themeFillShade="F2"/>
          </w:tcPr>
          <w:p w14:paraId="682EAF42" w14:textId="77777777" w:rsidR="005D72AE" w:rsidRPr="00844A25" w:rsidRDefault="005D72AE" w:rsidP="00FA2A1A">
            <w:pPr>
              <w:pStyle w:val="Tablecopy"/>
            </w:pPr>
            <w:r w:rsidRPr="00844A25">
              <w:t>18,135,730</w:t>
            </w:r>
          </w:p>
        </w:tc>
        <w:tc>
          <w:tcPr>
            <w:cnfStyle w:val="000001000000" w:firstRow="0" w:lastRow="0" w:firstColumn="0" w:lastColumn="0" w:oddVBand="0" w:evenVBand="1" w:oddHBand="0" w:evenHBand="0" w:firstRowFirstColumn="0" w:firstRowLastColumn="0" w:lastRowFirstColumn="0" w:lastRowLastColumn="0"/>
            <w:tcW w:w="1369" w:type="dxa"/>
          </w:tcPr>
          <w:p w14:paraId="62065FCD" w14:textId="77777777" w:rsidR="005D72AE" w:rsidRPr="00844A25" w:rsidRDefault="005D72AE" w:rsidP="00FA2A1A">
            <w:pPr>
              <w:pStyle w:val="Tablecopy"/>
            </w:pPr>
            <w:r w:rsidRPr="00844A25">
              <w:t>14,722,716</w:t>
            </w:r>
          </w:p>
        </w:tc>
      </w:tr>
      <w:tr w:rsidR="005D72AE" w:rsidRPr="00844A25" w14:paraId="10E5DBB3" w14:textId="77777777" w:rsidTr="00FA2A1A">
        <w:trPr>
          <w:trHeight w:val="496"/>
        </w:trPr>
        <w:tc>
          <w:tcPr>
            <w:cnfStyle w:val="000010000000" w:firstRow="0" w:lastRow="0" w:firstColumn="0" w:lastColumn="0" w:oddVBand="1" w:evenVBand="0" w:oddHBand="0" w:evenHBand="0" w:firstRowFirstColumn="0" w:firstRowLastColumn="0" w:lastRowFirstColumn="0" w:lastRowLastColumn="0"/>
            <w:tcW w:w="4823" w:type="dxa"/>
          </w:tcPr>
          <w:p w14:paraId="7E66081A" w14:textId="77777777" w:rsidR="005D72AE" w:rsidRPr="00844A25" w:rsidRDefault="005D72AE" w:rsidP="00FA2A1A">
            <w:pPr>
              <w:pStyle w:val="Tablecopy"/>
            </w:pPr>
            <w:r w:rsidRPr="00844A25">
              <w:t>Depreciation and amortisation</w:t>
            </w:r>
          </w:p>
        </w:tc>
        <w:tc>
          <w:tcPr>
            <w:cnfStyle w:val="000001000000" w:firstRow="0" w:lastRow="0" w:firstColumn="0" w:lastColumn="0" w:oddVBand="0" w:evenVBand="1" w:oddHBand="0" w:evenHBand="0" w:firstRowFirstColumn="0" w:firstRowLastColumn="0" w:lastRowFirstColumn="0" w:lastRowLastColumn="0"/>
            <w:tcW w:w="1369" w:type="dxa"/>
          </w:tcPr>
          <w:p w14:paraId="2B51C03D" w14:textId="77777777" w:rsidR="005D72AE" w:rsidRPr="00844A25" w:rsidRDefault="005D72AE" w:rsidP="00FA2A1A">
            <w:pPr>
              <w:pStyle w:val="Tablecopy"/>
            </w:pPr>
            <w:r w:rsidRPr="00844A25">
              <w:t>5.1.1</w:t>
            </w:r>
          </w:p>
        </w:tc>
        <w:tc>
          <w:tcPr>
            <w:cnfStyle w:val="000010000000" w:firstRow="0" w:lastRow="0" w:firstColumn="0" w:lastColumn="0" w:oddVBand="1" w:evenVBand="0" w:oddHBand="0" w:evenHBand="0" w:firstRowFirstColumn="0" w:firstRowLastColumn="0" w:lastRowFirstColumn="0" w:lastRowLastColumn="0"/>
            <w:tcW w:w="1369" w:type="dxa"/>
            <w:shd w:val="clear" w:color="auto" w:fill="F2F2F2" w:themeFill="background1" w:themeFillShade="F2"/>
          </w:tcPr>
          <w:p w14:paraId="7A48A21F" w14:textId="77777777" w:rsidR="005D72AE" w:rsidRPr="00844A25" w:rsidRDefault="005D72AE" w:rsidP="00FA2A1A">
            <w:pPr>
              <w:pStyle w:val="Tablecopy"/>
            </w:pPr>
            <w:r w:rsidRPr="00844A25">
              <w:t>316,512</w:t>
            </w:r>
          </w:p>
        </w:tc>
        <w:tc>
          <w:tcPr>
            <w:cnfStyle w:val="000001000000" w:firstRow="0" w:lastRow="0" w:firstColumn="0" w:lastColumn="0" w:oddVBand="0" w:evenVBand="1" w:oddHBand="0" w:evenHBand="0" w:firstRowFirstColumn="0" w:firstRowLastColumn="0" w:lastRowFirstColumn="0" w:lastRowLastColumn="0"/>
            <w:tcW w:w="1369" w:type="dxa"/>
          </w:tcPr>
          <w:p w14:paraId="4F8087C8" w14:textId="77777777" w:rsidR="005D72AE" w:rsidRPr="00844A25" w:rsidRDefault="005D72AE" w:rsidP="00FA2A1A">
            <w:pPr>
              <w:pStyle w:val="Tablecopy"/>
            </w:pPr>
            <w:r w:rsidRPr="00844A25">
              <w:t>35,374</w:t>
            </w:r>
          </w:p>
        </w:tc>
      </w:tr>
      <w:tr w:rsidR="005D72AE" w:rsidRPr="00844A25" w14:paraId="528F01E6" w14:textId="77777777" w:rsidTr="00FA2A1A">
        <w:trPr>
          <w:cnfStyle w:val="000000100000" w:firstRow="0" w:lastRow="0" w:firstColumn="0" w:lastColumn="0" w:oddVBand="0" w:evenVBand="0" w:oddHBand="1" w:evenHBand="0" w:firstRowFirstColumn="0" w:firstRowLastColumn="0" w:lastRowFirstColumn="0" w:lastRowLastColumn="0"/>
          <w:trHeight w:val="496"/>
        </w:trPr>
        <w:tc>
          <w:tcPr>
            <w:cnfStyle w:val="000010000000" w:firstRow="0" w:lastRow="0" w:firstColumn="0" w:lastColumn="0" w:oddVBand="1" w:evenVBand="0" w:oddHBand="0" w:evenHBand="0" w:firstRowFirstColumn="0" w:firstRowLastColumn="0" w:lastRowFirstColumn="0" w:lastRowLastColumn="0"/>
            <w:tcW w:w="4823" w:type="dxa"/>
          </w:tcPr>
          <w:p w14:paraId="5D2A25E9" w14:textId="77777777" w:rsidR="005D72AE" w:rsidRPr="00844A25" w:rsidRDefault="005D72AE" w:rsidP="00FA2A1A">
            <w:pPr>
              <w:pStyle w:val="Tablecopy"/>
            </w:pPr>
            <w:r w:rsidRPr="00844A25">
              <w:t>Lease interest (2019: finance lease interest)</w:t>
            </w:r>
          </w:p>
        </w:tc>
        <w:tc>
          <w:tcPr>
            <w:cnfStyle w:val="000001000000" w:firstRow="0" w:lastRow="0" w:firstColumn="0" w:lastColumn="0" w:oddVBand="0" w:evenVBand="1" w:oddHBand="0" w:evenHBand="0" w:firstRowFirstColumn="0" w:firstRowLastColumn="0" w:lastRowFirstColumn="0" w:lastRowLastColumn="0"/>
            <w:tcW w:w="1369" w:type="dxa"/>
          </w:tcPr>
          <w:p w14:paraId="34FD4B37" w14:textId="77777777" w:rsidR="005D72AE" w:rsidRPr="00844A25" w:rsidRDefault="005D72AE" w:rsidP="00FA2A1A">
            <w:pPr>
              <w:pStyle w:val="Tablecopy"/>
            </w:pPr>
          </w:p>
        </w:tc>
        <w:tc>
          <w:tcPr>
            <w:cnfStyle w:val="000010000000" w:firstRow="0" w:lastRow="0" w:firstColumn="0" w:lastColumn="0" w:oddVBand="1" w:evenVBand="0" w:oddHBand="0" w:evenHBand="0" w:firstRowFirstColumn="0" w:firstRowLastColumn="0" w:lastRowFirstColumn="0" w:lastRowLastColumn="0"/>
            <w:tcW w:w="1369" w:type="dxa"/>
            <w:shd w:val="clear" w:color="auto" w:fill="F2F2F2" w:themeFill="background1" w:themeFillShade="F2"/>
          </w:tcPr>
          <w:p w14:paraId="743B4236" w14:textId="77777777" w:rsidR="005D72AE" w:rsidRPr="00844A25" w:rsidRDefault="005D72AE" w:rsidP="00FA2A1A">
            <w:pPr>
              <w:pStyle w:val="Tablecopy"/>
            </w:pPr>
            <w:r w:rsidRPr="00844A25">
              <w:t>32,220</w:t>
            </w:r>
          </w:p>
        </w:tc>
        <w:tc>
          <w:tcPr>
            <w:cnfStyle w:val="000001000000" w:firstRow="0" w:lastRow="0" w:firstColumn="0" w:lastColumn="0" w:oddVBand="0" w:evenVBand="1" w:oddHBand="0" w:evenHBand="0" w:firstRowFirstColumn="0" w:firstRowLastColumn="0" w:lastRowFirstColumn="0" w:lastRowLastColumn="0"/>
            <w:tcW w:w="1369" w:type="dxa"/>
          </w:tcPr>
          <w:p w14:paraId="20680B87" w14:textId="77777777" w:rsidR="005D72AE" w:rsidRPr="00844A25" w:rsidRDefault="005D72AE" w:rsidP="00FA2A1A">
            <w:pPr>
              <w:pStyle w:val="Tablecopy"/>
            </w:pPr>
            <w:r w:rsidRPr="00844A25">
              <w:t>439</w:t>
            </w:r>
          </w:p>
        </w:tc>
      </w:tr>
      <w:tr w:rsidR="005D72AE" w:rsidRPr="00844A25" w14:paraId="64289BAF" w14:textId="77777777" w:rsidTr="00FA2A1A">
        <w:trPr>
          <w:trHeight w:val="496"/>
        </w:trPr>
        <w:tc>
          <w:tcPr>
            <w:cnfStyle w:val="000010000000" w:firstRow="0" w:lastRow="0" w:firstColumn="0" w:lastColumn="0" w:oddVBand="1" w:evenVBand="0" w:oddHBand="0" w:evenHBand="0" w:firstRowFirstColumn="0" w:firstRowLastColumn="0" w:lastRowFirstColumn="0" w:lastRowLastColumn="0"/>
            <w:tcW w:w="4823" w:type="dxa"/>
          </w:tcPr>
          <w:p w14:paraId="5348B5D0" w14:textId="77777777" w:rsidR="005D72AE" w:rsidRPr="00844A25" w:rsidRDefault="005D72AE" w:rsidP="00FA2A1A">
            <w:pPr>
              <w:pStyle w:val="Tablecopy"/>
            </w:pPr>
            <w:r w:rsidRPr="00844A25">
              <w:t>Capital asset charge</w:t>
            </w:r>
          </w:p>
        </w:tc>
        <w:tc>
          <w:tcPr>
            <w:cnfStyle w:val="000001000000" w:firstRow="0" w:lastRow="0" w:firstColumn="0" w:lastColumn="0" w:oddVBand="0" w:evenVBand="1" w:oddHBand="0" w:evenHBand="0" w:firstRowFirstColumn="0" w:firstRowLastColumn="0" w:lastRowFirstColumn="0" w:lastRowLastColumn="0"/>
            <w:tcW w:w="1369" w:type="dxa"/>
          </w:tcPr>
          <w:p w14:paraId="2773BD90" w14:textId="77777777" w:rsidR="005D72AE" w:rsidRPr="00844A25" w:rsidRDefault="005D72AE" w:rsidP="00FA2A1A">
            <w:pPr>
              <w:pStyle w:val="Tablecopy"/>
            </w:pPr>
          </w:p>
        </w:tc>
        <w:tc>
          <w:tcPr>
            <w:cnfStyle w:val="000010000000" w:firstRow="0" w:lastRow="0" w:firstColumn="0" w:lastColumn="0" w:oddVBand="1" w:evenVBand="0" w:oddHBand="0" w:evenHBand="0" w:firstRowFirstColumn="0" w:firstRowLastColumn="0" w:lastRowFirstColumn="0" w:lastRowLastColumn="0"/>
            <w:tcW w:w="1369" w:type="dxa"/>
            <w:shd w:val="clear" w:color="auto" w:fill="F2F2F2" w:themeFill="background1" w:themeFillShade="F2"/>
          </w:tcPr>
          <w:p w14:paraId="1E3BFE5A" w14:textId="77777777" w:rsidR="005D72AE" w:rsidRPr="00844A25" w:rsidRDefault="005D72AE" w:rsidP="00FA2A1A">
            <w:pPr>
              <w:pStyle w:val="Tablecopy"/>
            </w:pPr>
            <w:r w:rsidRPr="00844A25">
              <w:t>84,067</w:t>
            </w:r>
          </w:p>
        </w:tc>
        <w:tc>
          <w:tcPr>
            <w:cnfStyle w:val="000001000000" w:firstRow="0" w:lastRow="0" w:firstColumn="0" w:lastColumn="0" w:oddVBand="0" w:evenVBand="1" w:oddHBand="0" w:evenHBand="0" w:firstRowFirstColumn="0" w:firstRowLastColumn="0" w:lastRowFirstColumn="0" w:lastRowLastColumn="0"/>
            <w:tcW w:w="1369" w:type="dxa"/>
          </w:tcPr>
          <w:p w14:paraId="7E998FA5" w14:textId="77777777" w:rsidR="005D72AE" w:rsidRPr="00844A25" w:rsidRDefault="005D72AE" w:rsidP="00FA2A1A">
            <w:pPr>
              <w:pStyle w:val="Tablecopy"/>
            </w:pPr>
            <w:r w:rsidRPr="00844A25">
              <w:t>84,067</w:t>
            </w:r>
          </w:p>
        </w:tc>
      </w:tr>
      <w:tr w:rsidR="005D72AE" w:rsidRPr="00844A25" w14:paraId="328035CC" w14:textId="77777777" w:rsidTr="00FA2A1A">
        <w:trPr>
          <w:cnfStyle w:val="000000100000" w:firstRow="0" w:lastRow="0" w:firstColumn="0" w:lastColumn="0" w:oddVBand="0" w:evenVBand="0" w:oddHBand="1" w:evenHBand="0" w:firstRowFirstColumn="0" w:firstRowLastColumn="0" w:lastRowFirstColumn="0" w:lastRowLastColumn="0"/>
          <w:trHeight w:val="496"/>
        </w:trPr>
        <w:tc>
          <w:tcPr>
            <w:cnfStyle w:val="000010000000" w:firstRow="0" w:lastRow="0" w:firstColumn="0" w:lastColumn="0" w:oddVBand="1" w:evenVBand="0" w:oddHBand="0" w:evenHBand="0" w:firstRowFirstColumn="0" w:firstRowLastColumn="0" w:lastRowFirstColumn="0" w:lastRowLastColumn="0"/>
            <w:tcW w:w="4823" w:type="dxa"/>
          </w:tcPr>
          <w:p w14:paraId="04E97466" w14:textId="77777777" w:rsidR="005D72AE" w:rsidRPr="00844A25" w:rsidRDefault="005D72AE" w:rsidP="00FA2A1A">
            <w:pPr>
              <w:pStyle w:val="Tablecopy"/>
            </w:pPr>
            <w:r w:rsidRPr="00844A25">
              <w:lastRenderedPageBreak/>
              <w:t>Supplies and services</w:t>
            </w:r>
          </w:p>
        </w:tc>
        <w:tc>
          <w:tcPr>
            <w:cnfStyle w:val="000001000000" w:firstRow="0" w:lastRow="0" w:firstColumn="0" w:lastColumn="0" w:oddVBand="0" w:evenVBand="1" w:oddHBand="0" w:evenHBand="0" w:firstRowFirstColumn="0" w:firstRowLastColumn="0" w:lastRowFirstColumn="0" w:lastRowLastColumn="0"/>
            <w:tcW w:w="1369" w:type="dxa"/>
          </w:tcPr>
          <w:p w14:paraId="0B232F25" w14:textId="77777777" w:rsidR="005D72AE" w:rsidRPr="00844A25" w:rsidRDefault="005D72AE" w:rsidP="00FA2A1A">
            <w:pPr>
              <w:pStyle w:val="Tablecopy"/>
            </w:pPr>
            <w:r w:rsidRPr="00844A25">
              <w:t>3.2</w:t>
            </w:r>
          </w:p>
        </w:tc>
        <w:tc>
          <w:tcPr>
            <w:cnfStyle w:val="000010000000" w:firstRow="0" w:lastRow="0" w:firstColumn="0" w:lastColumn="0" w:oddVBand="1" w:evenVBand="0" w:oddHBand="0" w:evenHBand="0" w:firstRowFirstColumn="0" w:firstRowLastColumn="0" w:lastRowFirstColumn="0" w:lastRowLastColumn="0"/>
            <w:tcW w:w="1369" w:type="dxa"/>
            <w:shd w:val="clear" w:color="auto" w:fill="F2F2F2" w:themeFill="background1" w:themeFillShade="F2"/>
          </w:tcPr>
          <w:p w14:paraId="5FD459DC" w14:textId="77777777" w:rsidR="005D72AE" w:rsidRPr="00844A25" w:rsidRDefault="005D72AE" w:rsidP="00FA2A1A">
            <w:pPr>
              <w:pStyle w:val="Tablecopy"/>
            </w:pPr>
            <w:r w:rsidRPr="00844A25">
              <w:t>9,971,272</w:t>
            </w:r>
          </w:p>
        </w:tc>
        <w:tc>
          <w:tcPr>
            <w:cnfStyle w:val="000001000000" w:firstRow="0" w:lastRow="0" w:firstColumn="0" w:lastColumn="0" w:oddVBand="0" w:evenVBand="1" w:oddHBand="0" w:evenHBand="0" w:firstRowFirstColumn="0" w:firstRowLastColumn="0" w:lastRowFirstColumn="0" w:lastRowLastColumn="0"/>
            <w:tcW w:w="1369" w:type="dxa"/>
          </w:tcPr>
          <w:p w14:paraId="70882855" w14:textId="77777777" w:rsidR="005D72AE" w:rsidRPr="00844A25" w:rsidRDefault="005D72AE" w:rsidP="00FA2A1A">
            <w:pPr>
              <w:pStyle w:val="Tablecopy"/>
            </w:pPr>
            <w:r w:rsidRPr="00844A25">
              <w:t>8,711,830</w:t>
            </w:r>
          </w:p>
        </w:tc>
      </w:tr>
      <w:tr w:rsidR="005D72AE" w:rsidRPr="00844A25" w14:paraId="4BCDAFAF" w14:textId="77777777" w:rsidTr="00FA2A1A">
        <w:trPr>
          <w:trHeight w:val="496"/>
        </w:trPr>
        <w:tc>
          <w:tcPr>
            <w:cnfStyle w:val="000010000000" w:firstRow="0" w:lastRow="0" w:firstColumn="0" w:lastColumn="0" w:oddVBand="1" w:evenVBand="0" w:oddHBand="0" w:evenHBand="0" w:firstRowFirstColumn="0" w:firstRowLastColumn="0" w:lastRowFirstColumn="0" w:lastRowLastColumn="0"/>
            <w:tcW w:w="4823" w:type="dxa"/>
          </w:tcPr>
          <w:p w14:paraId="7B9CA2C1" w14:textId="77777777" w:rsidR="005D72AE" w:rsidRPr="007138F1" w:rsidRDefault="005D72AE" w:rsidP="00FA2A1A">
            <w:pPr>
              <w:pStyle w:val="Tablecopy"/>
              <w:rPr>
                <w:b/>
                <w:bCs/>
              </w:rPr>
            </w:pPr>
            <w:r w:rsidRPr="007138F1">
              <w:rPr>
                <w:b/>
                <w:bCs/>
              </w:rPr>
              <w:t>Total expenses incurred in delivery of services</w:t>
            </w:r>
          </w:p>
        </w:tc>
        <w:tc>
          <w:tcPr>
            <w:cnfStyle w:val="000001000000" w:firstRow="0" w:lastRow="0" w:firstColumn="0" w:lastColumn="0" w:oddVBand="0" w:evenVBand="1" w:oddHBand="0" w:evenHBand="0" w:firstRowFirstColumn="0" w:firstRowLastColumn="0" w:lastRowFirstColumn="0" w:lastRowLastColumn="0"/>
            <w:tcW w:w="1369" w:type="dxa"/>
          </w:tcPr>
          <w:p w14:paraId="431CC98A" w14:textId="77777777" w:rsidR="005D72AE" w:rsidRPr="007138F1" w:rsidRDefault="005D72AE" w:rsidP="00FA2A1A">
            <w:pPr>
              <w:pStyle w:val="Tablecopy"/>
              <w:rPr>
                <w:b/>
                <w:bCs/>
              </w:rPr>
            </w:pPr>
          </w:p>
        </w:tc>
        <w:tc>
          <w:tcPr>
            <w:cnfStyle w:val="000010000000" w:firstRow="0" w:lastRow="0" w:firstColumn="0" w:lastColumn="0" w:oddVBand="1" w:evenVBand="0" w:oddHBand="0" w:evenHBand="0" w:firstRowFirstColumn="0" w:firstRowLastColumn="0" w:lastRowFirstColumn="0" w:lastRowLastColumn="0"/>
            <w:tcW w:w="1369" w:type="dxa"/>
            <w:shd w:val="clear" w:color="auto" w:fill="F2F2F2" w:themeFill="background1" w:themeFillShade="F2"/>
          </w:tcPr>
          <w:p w14:paraId="426C7DB0" w14:textId="77777777" w:rsidR="005D72AE" w:rsidRPr="007138F1" w:rsidRDefault="005D72AE" w:rsidP="00FA2A1A">
            <w:pPr>
              <w:pStyle w:val="Tablecopy"/>
              <w:rPr>
                <w:b/>
                <w:bCs/>
              </w:rPr>
            </w:pPr>
            <w:r w:rsidRPr="007138F1">
              <w:rPr>
                <w:b/>
                <w:bCs/>
              </w:rPr>
              <w:t>28,539,801</w:t>
            </w:r>
          </w:p>
        </w:tc>
        <w:tc>
          <w:tcPr>
            <w:cnfStyle w:val="000001000000" w:firstRow="0" w:lastRow="0" w:firstColumn="0" w:lastColumn="0" w:oddVBand="0" w:evenVBand="1" w:oddHBand="0" w:evenHBand="0" w:firstRowFirstColumn="0" w:firstRowLastColumn="0" w:lastRowFirstColumn="0" w:lastRowLastColumn="0"/>
            <w:tcW w:w="1369" w:type="dxa"/>
          </w:tcPr>
          <w:p w14:paraId="571E9883" w14:textId="77777777" w:rsidR="005D72AE" w:rsidRPr="007138F1" w:rsidRDefault="005D72AE" w:rsidP="00FA2A1A">
            <w:pPr>
              <w:pStyle w:val="Tablecopy"/>
              <w:rPr>
                <w:b/>
                <w:bCs/>
              </w:rPr>
            </w:pPr>
            <w:r w:rsidRPr="007138F1">
              <w:rPr>
                <w:b/>
                <w:bCs/>
              </w:rPr>
              <w:t>23,554,426</w:t>
            </w:r>
          </w:p>
        </w:tc>
      </w:tr>
    </w:tbl>
    <w:p w14:paraId="2CD99B1A" w14:textId="77777777" w:rsidR="005D72AE" w:rsidRPr="00844A25" w:rsidRDefault="005D72AE" w:rsidP="005D72AE">
      <w:pPr>
        <w:pStyle w:val="Heading3"/>
      </w:pPr>
      <w:r w:rsidRPr="00844A25">
        <w:t>3.1 Employee expenses</w:t>
      </w:r>
    </w:p>
    <w:p w14:paraId="331FF5B5" w14:textId="77777777" w:rsidR="005D72AE" w:rsidRPr="00844A25" w:rsidRDefault="005D72AE" w:rsidP="005D72AE">
      <w:pPr>
        <w:pStyle w:val="Heading4"/>
      </w:pPr>
      <w:r w:rsidRPr="00844A25">
        <w:t>3.1.1. Employee expenses in the comprehensive operating statement</w:t>
      </w:r>
    </w:p>
    <w:tbl>
      <w:tblPr>
        <w:tblStyle w:val="PlainTable2"/>
        <w:tblW w:w="0" w:type="auto"/>
        <w:tblLayout w:type="fixed"/>
        <w:tblLook w:val="0000" w:firstRow="0" w:lastRow="0" w:firstColumn="0" w:lastColumn="0" w:noHBand="0" w:noVBand="0"/>
      </w:tblPr>
      <w:tblGrid>
        <w:gridCol w:w="6164"/>
        <w:gridCol w:w="1366"/>
        <w:gridCol w:w="1366"/>
      </w:tblGrid>
      <w:tr w:rsidR="005D72AE" w:rsidRPr="00844A25" w14:paraId="0ACE4637" w14:textId="77777777" w:rsidTr="00FA2A1A">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6164" w:type="dxa"/>
          </w:tcPr>
          <w:p w14:paraId="6C22029C" w14:textId="77777777" w:rsidR="005D72AE" w:rsidRPr="007148B9" w:rsidRDefault="005D72AE" w:rsidP="00FA2A1A">
            <w:pPr>
              <w:pStyle w:val="Tablecopy"/>
              <w:rPr>
                <w:b/>
                <w:bCs/>
              </w:rPr>
            </w:pPr>
            <w:r w:rsidRPr="007148B9">
              <w:rPr>
                <w:b/>
                <w:bCs/>
              </w:rPr>
              <w:t>Salaries and wages</w:t>
            </w:r>
          </w:p>
        </w:tc>
        <w:tc>
          <w:tcPr>
            <w:cnfStyle w:val="000001000000" w:firstRow="0" w:lastRow="0" w:firstColumn="0" w:lastColumn="0" w:oddVBand="0" w:evenVBand="1" w:oddHBand="0" w:evenHBand="0" w:firstRowFirstColumn="0" w:firstRowLastColumn="0" w:lastRowFirstColumn="0" w:lastRowLastColumn="0"/>
            <w:tcW w:w="1366" w:type="dxa"/>
            <w:shd w:val="clear" w:color="auto" w:fill="F2F2F2" w:themeFill="background1" w:themeFillShade="F2"/>
          </w:tcPr>
          <w:p w14:paraId="6FCAFD0D" w14:textId="77777777" w:rsidR="005D72AE" w:rsidRPr="007148B9" w:rsidRDefault="005D72AE" w:rsidP="00FA2A1A">
            <w:pPr>
              <w:pStyle w:val="Tablecopy"/>
              <w:rPr>
                <w:b/>
                <w:bCs/>
              </w:rPr>
            </w:pPr>
            <w:r w:rsidRPr="007148B9">
              <w:rPr>
                <w:b/>
                <w:bCs/>
              </w:rPr>
              <w:t>13,668,518</w:t>
            </w:r>
          </w:p>
        </w:tc>
        <w:tc>
          <w:tcPr>
            <w:cnfStyle w:val="000010000000" w:firstRow="0" w:lastRow="0" w:firstColumn="0" w:lastColumn="0" w:oddVBand="1" w:evenVBand="0" w:oddHBand="0" w:evenHBand="0" w:firstRowFirstColumn="0" w:firstRowLastColumn="0" w:lastRowFirstColumn="0" w:lastRowLastColumn="0"/>
            <w:tcW w:w="1366" w:type="dxa"/>
          </w:tcPr>
          <w:p w14:paraId="595AC898" w14:textId="77777777" w:rsidR="005D72AE" w:rsidRPr="007148B9" w:rsidRDefault="005D72AE" w:rsidP="00FA2A1A">
            <w:pPr>
              <w:pStyle w:val="Tablecopy"/>
              <w:rPr>
                <w:b/>
                <w:bCs/>
              </w:rPr>
            </w:pPr>
            <w:r w:rsidRPr="007148B9">
              <w:rPr>
                <w:b/>
                <w:bCs/>
              </w:rPr>
              <w:t>11,298,880</w:t>
            </w:r>
          </w:p>
        </w:tc>
      </w:tr>
      <w:tr w:rsidR="005D72AE" w:rsidRPr="00844A25" w14:paraId="07A304ED" w14:textId="77777777" w:rsidTr="00FA2A1A">
        <w:trPr>
          <w:trHeight w:val="305"/>
        </w:trPr>
        <w:tc>
          <w:tcPr>
            <w:cnfStyle w:val="000010000000" w:firstRow="0" w:lastRow="0" w:firstColumn="0" w:lastColumn="0" w:oddVBand="1" w:evenVBand="0" w:oddHBand="0" w:evenHBand="0" w:firstRowFirstColumn="0" w:firstRowLastColumn="0" w:lastRowFirstColumn="0" w:lastRowLastColumn="0"/>
            <w:tcW w:w="6164" w:type="dxa"/>
          </w:tcPr>
          <w:p w14:paraId="26685B0A" w14:textId="77777777" w:rsidR="005D72AE" w:rsidRPr="007148B9" w:rsidRDefault="005D72AE" w:rsidP="00FA2A1A">
            <w:pPr>
              <w:pStyle w:val="Tablecopy"/>
              <w:rPr>
                <w:b/>
                <w:bCs/>
              </w:rPr>
            </w:pPr>
            <w:r w:rsidRPr="007148B9">
              <w:rPr>
                <w:b/>
                <w:bCs/>
              </w:rPr>
              <w:t>Superannuation</w:t>
            </w:r>
          </w:p>
        </w:tc>
        <w:tc>
          <w:tcPr>
            <w:cnfStyle w:val="000001000000" w:firstRow="0" w:lastRow="0" w:firstColumn="0" w:lastColumn="0" w:oddVBand="0" w:evenVBand="1" w:oddHBand="0" w:evenHBand="0" w:firstRowFirstColumn="0" w:firstRowLastColumn="0" w:lastRowFirstColumn="0" w:lastRowLastColumn="0"/>
            <w:tcW w:w="1366" w:type="dxa"/>
            <w:shd w:val="clear" w:color="auto" w:fill="F2F2F2" w:themeFill="background1" w:themeFillShade="F2"/>
          </w:tcPr>
          <w:p w14:paraId="0C7944CF" w14:textId="77777777" w:rsidR="005D72AE" w:rsidRPr="007148B9" w:rsidRDefault="005D72AE" w:rsidP="00FA2A1A">
            <w:pPr>
              <w:pStyle w:val="Tablecopy"/>
              <w:rPr>
                <w:b/>
                <w:bCs/>
                <w:lang w:val="en-GB"/>
              </w:rPr>
            </w:pPr>
          </w:p>
        </w:tc>
        <w:tc>
          <w:tcPr>
            <w:cnfStyle w:val="000010000000" w:firstRow="0" w:lastRow="0" w:firstColumn="0" w:lastColumn="0" w:oddVBand="1" w:evenVBand="0" w:oddHBand="0" w:evenHBand="0" w:firstRowFirstColumn="0" w:firstRowLastColumn="0" w:lastRowFirstColumn="0" w:lastRowLastColumn="0"/>
            <w:tcW w:w="1366" w:type="dxa"/>
          </w:tcPr>
          <w:p w14:paraId="23517931" w14:textId="77777777" w:rsidR="005D72AE" w:rsidRPr="007148B9" w:rsidRDefault="005D72AE" w:rsidP="00FA2A1A">
            <w:pPr>
              <w:pStyle w:val="Tablecopy"/>
              <w:rPr>
                <w:b/>
                <w:bCs/>
                <w:lang w:val="en-GB"/>
              </w:rPr>
            </w:pPr>
          </w:p>
        </w:tc>
      </w:tr>
      <w:tr w:rsidR="005D72AE" w:rsidRPr="00844A25" w14:paraId="60D842B0" w14:textId="77777777" w:rsidTr="00FA2A1A">
        <w:trPr>
          <w:cnfStyle w:val="000000100000" w:firstRow="0" w:lastRow="0" w:firstColumn="0" w:lastColumn="0" w:oddVBand="0" w:evenVBand="0" w:oddHBand="1" w:evenHBand="0" w:firstRowFirstColumn="0" w:firstRowLastColumn="0" w:lastRowFirstColumn="0" w:lastRowLastColumn="0"/>
          <w:trHeight w:val="297"/>
        </w:trPr>
        <w:tc>
          <w:tcPr>
            <w:cnfStyle w:val="000010000000" w:firstRow="0" w:lastRow="0" w:firstColumn="0" w:lastColumn="0" w:oddVBand="1" w:evenVBand="0" w:oddHBand="0" w:evenHBand="0" w:firstRowFirstColumn="0" w:firstRowLastColumn="0" w:lastRowFirstColumn="0" w:lastRowLastColumn="0"/>
            <w:tcW w:w="6164" w:type="dxa"/>
          </w:tcPr>
          <w:p w14:paraId="1400AD73" w14:textId="77777777" w:rsidR="005D72AE" w:rsidRPr="00844A25" w:rsidRDefault="005D72AE" w:rsidP="00FA2A1A">
            <w:pPr>
              <w:pStyle w:val="Tablecopy"/>
            </w:pPr>
            <w:r w:rsidRPr="00844A25">
              <w:t>- Defined contribution plans</w:t>
            </w:r>
          </w:p>
        </w:tc>
        <w:tc>
          <w:tcPr>
            <w:cnfStyle w:val="000001000000" w:firstRow="0" w:lastRow="0" w:firstColumn="0" w:lastColumn="0" w:oddVBand="0" w:evenVBand="1" w:oddHBand="0" w:evenHBand="0" w:firstRowFirstColumn="0" w:firstRowLastColumn="0" w:lastRowFirstColumn="0" w:lastRowLastColumn="0"/>
            <w:tcW w:w="1366" w:type="dxa"/>
            <w:shd w:val="clear" w:color="auto" w:fill="F2F2F2" w:themeFill="background1" w:themeFillShade="F2"/>
          </w:tcPr>
          <w:p w14:paraId="790AD4D6" w14:textId="77777777" w:rsidR="005D72AE" w:rsidRPr="00844A25" w:rsidRDefault="005D72AE" w:rsidP="00FA2A1A">
            <w:pPr>
              <w:pStyle w:val="Tablecopy"/>
            </w:pPr>
            <w:r w:rsidRPr="00844A25">
              <w:t>1,327,571</w:t>
            </w:r>
          </w:p>
        </w:tc>
        <w:tc>
          <w:tcPr>
            <w:cnfStyle w:val="000010000000" w:firstRow="0" w:lastRow="0" w:firstColumn="0" w:lastColumn="0" w:oddVBand="1" w:evenVBand="0" w:oddHBand="0" w:evenHBand="0" w:firstRowFirstColumn="0" w:firstRowLastColumn="0" w:lastRowFirstColumn="0" w:lastRowLastColumn="0"/>
            <w:tcW w:w="1366" w:type="dxa"/>
          </w:tcPr>
          <w:p w14:paraId="2F94218F" w14:textId="77777777" w:rsidR="005D72AE" w:rsidRPr="00844A25" w:rsidRDefault="005D72AE" w:rsidP="00FA2A1A">
            <w:pPr>
              <w:pStyle w:val="Tablecopy"/>
            </w:pPr>
            <w:r w:rsidRPr="00844A25">
              <w:t>1,149,346</w:t>
            </w:r>
          </w:p>
        </w:tc>
      </w:tr>
      <w:tr w:rsidR="005D72AE" w:rsidRPr="00844A25" w14:paraId="693A2F47" w14:textId="77777777" w:rsidTr="00FA2A1A">
        <w:trPr>
          <w:trHeight w:val="305"/>
        </w:trPr>
        <w:tc>
          <w:tcPr>
            <w:cnfStyle w:val="000010000000" w:firstRow="0" w:lastRow="0" w:firstColumn="0" w:lastColumn="0" w:oddVBand="1" w:evenVBand="0" w:oddHBand="0" w:evenHBand="0" w:firstRowFirstColumn="0" w:firstRowLastColumn="0" w:lastRowFirstColumn="0" w:lastRowLastColumn="0"/>
            <w:tcW w:w="6164" w:type="dxa"/>
          </w:tcPr>
          <w:p w14:paraId="63834EAD" w14:textId="77777777" w:rsidR="005D72AE" w:rsidRPr="00844A25" w:rsidRDefault="005D72AE" w:rsidP="00FA2A1A">
            <w:pPr>
              <w:pStyle w:val="Tablecopy"/>
            </w:pPr>
            <w:r w:rsidRPr="00844A25">
              <w:t>- Defined benefits expense</w:t>
            </w:r>
          </w:p>
        </w:tc>
        <w:tc>
          <w:tcPr>
            <w:cnfStyle w:val="000001000000" w:firstRow="0" w:lastRow="0" w:firstColumn="0" w:lastColumn="0" w:oddVBand="0" w:evenVBand="1" w:oddHBand="0" w:evenHBand="0" w:firstRowFirstColumn="0" w:firstRowLastColumn="0" w:lastRowFirstColumn="0" w:lastRowLastColumn="0"/>
            <w:tcW w:w="1366" w:type="dxa"/>
            <w:shd w:val="clear" w:color="auto" w:fill="F2F2F2" w:themeFill="background1" w:themeFillShade="F2"/>
          </w:tcPr>
          <w:p w14:paraId="3F6E1C8A" w14:textId="77777777" w:rsidR="005D72AE" w:rsidRPr="00844A25" w:rsidRDefault="005D72AE" w:rsidP="00FA2A1A">
            <w:pPr>
              <w:pStyle w:val="Tablecopy"/>
            </w:pPr>
            <w:r w:rsidRPr="00844A25">
              <w:t>14,300</w:t>
            </w:r>
          </w:p>
        </w:tc>
        <w:tc>
          <w:tcPr>
            <w:cnfStyle w:val="000010000000" w:firstRow="0" w:lastRow="0" w:firstColumn="0" w:lastColumn="0" w:oddVBand="1" w:evenVBand="0" w:oddHBand="0" w:evenHBand="0" w:firstRowFirstColumn="0" w:firstRowLastColumn="0" w:lastRowFirstColumn="0" w:lastRowLastColumn="0"/>
            <w:tcW w:w="1366" w:type="dxa"/>
          </w:tcPr>
          <w:p w14:paraId="7E499DDD" w14:textId="77777777" w:rsidR="005D72AE" w:rsidRPr="00844A25" w:rsidRDefault="005D72AE" w:rsidP="00FA2A1A">
            <w:pPr>
              <w:pStyle w:val="Tablecopy"/>
            </w:pPr>
            <w:r w:rsidRPr="00844A25">
              <w:t>14,876</w:t>
            </w:r>
          </w:p>
        </w:tc>
      </w:tr>
      <w:tr w:rsidR="005D72AE" w:rsidRPr="00844A25" w14:paraId="097B6512" w14:textId="77777777" w:rsidTr="00FA2A1A">
        <w:trPr>
          <w:cnfStyle w:val="000000100000" w:firstRow="0" w:lastRow="0" w:firstColumn="0" w:lastColumn="0" w:oddVBand="0" w:evenVBand="0" w:oddHBand="1" w:evenHBand="0" w:firstRowFirstColumn="0" w:firstRowLastColumn="0" w:lastRowFirstColumn="0" w:lastRowLastColumn="0"/>
          <w:trHeight w:val="305"/>
        </w:trPr>
        <w:tc>
          <w:tcPr>
            <w:cnfStyle w:val="000010000000" w:firstRow="0" w:lastRow="0" w:firstColumn="0" w:lastColumn="0" w:oddVBand="1" w:evenVBand="0" w:oddHBand="0" w:evenHBand="0" w:firstRowFirstColumn="0" w:firstRowLastColumn="0" w:lastRowFirstColumn="0" w:lastRowLastColumn="0"/>
            <w:tcW w:w="6164" w:type="dxa"/>
          </w:tcPr>
          <w:p w14:paraId="7834AAB4" w14:textId="77777777" w:rsidR="005D72AE" w:rsidRPr="00844A25" w:rsidRDefault="005D72AE" w:rsidP="00FA2A1A">
            <w:pPr>
              <w:pStyle w:val="Tablecopy"/>
            </w:pPr>
            <w:r w:rsidRPr="00844A25">
              <w:t>Annual and long service leave expense</w:t>
            </w:r>
          </w:p>
        </w:tc>
        <w:tc>
          <w:tcPr>
            <w:cnfStyle w:val="000001000000" w:firstRow="0" w:lastRow="0" w:firstColumn="0" w:lastColumn="0" w:oddVBand="0" w:evenVBand="1" w:oddHBand="0" w:evenHBand="0" w:firstRowFirstColumn="0" w:firstRowLastColumn="0" w:lastRowFirstColumn="0" w:lastRowLastColumn="0"/>
            <w:tcW w:w="1366" w:type="dxa"/>
            <w:shd w:val="clear" w:color="auto" w:fill="F2F2F2" w:themeFill="background1" w:themeFillShade="F2"/>
          </w:tcPr>
          <w:p w14:paraId="1785BB85" w14:textId="77777777" w:rsidR="005D72AE" w:rsidRPr="00844A25" w:rsidRDefault="005D72AE" w:rsidP="00FA2A1A">
            <w:pPr>
              <w:pStyle w:val="Tablecopy"/>
            </w:pPr>
            <w:r w:rsidRPr="00844A25">
              <w:t>2,262,400</w:t>
            </w:r>
          </w:p>
        </w:tc>
        <w:tc>
          <w:tcPr>
            <w:cnfStyle w:val="000010000000" w:firstRow="0" w:lastRow="0" w:firstColumn="0" w:lastColumn="0" w:oddVBand="1" w:evenVBand="0" w:oddHBand="0" w:evenHBand="0" w:firstRowFirstColumn="0" w:firstRowLastColumn="0" w:lastRowFirstColumn="0" w:lastRowLastColumn="0"/>
            <w:tcW w:w="1366" w:type="dxa"/>
          </w:tcPr>
          <w:p w14:paraId="0077A82D" w14:textId="77777777" w:rsidR="005D72AE" w:rsidRPr="00844A25" w:rsidRDefault="005D72AE" w:rsidP="00FA2A1A">
            <w:pPr>
              <w:pStyle w:val="Tablecopy"/>
            </w:pPr>
            <w:r w:rsidRPr="00844A25">
              <w:t>1,519,204</w:t>
            </w:r>
          </w:p>
        </w:tc>
      </w:tr>
      <w:tr w:rsidR="005D72AE" w:rsidRPr="00844A25" w14:paraId="6B34AE07" w14:textId="77777777" w:rsidTr="00FA2A1A">
        <w:trPr>
          <w:trHeight w:val="281"/>
        </w:trPr>
        <w:tc>
          <w:tcPr>
            <w:cnfStyle w:val="000010000000" w:firstRow="0" w:lastRow="0" w:firstColumn="0" w:lastColumn="0" w:oddVBand="1" w:evenVBand="0" w:oddHBand="0" w:evenHBand="0" w:firstRowFirstColumn="0" w:firstRowLastColumn="0" w:lastRowFirstColumn="0" w:lastRowLastColumn="0"/>
            <w:tcW w:w="6164" w:type="dxa"/>
          </w:tcPr>
          <w:p w14:paraId="5DE12926" w14:textId="77777777" w:rsidR="005D72AE" w:rsidRPr="00844A25" w:rsidRDefault="005D72AE" w:rsidP="00FA2A1A">
            <w:pPr>
              <w:pStyle w:val="Tablecopy"/>
            </w:pPr>
            <w:r w:rsidRPr="00844A25">
              <w:t>On-costs</w:t>
            </w:r>
          </w:p>
        </w:tc>
        <w:tc>
          <w:tcPr>
            <w:cnfStyle w:val="000001000000" w:firstRow="0" w:lastRow="0" w:firstColumn="0" w:lastColumn="0" w:oddVBand="0" w:evenVBand="1" w:oddHBand="0" w:evenHBand="0" w:firstRowFirstColumn="0" w:firstRowLastColumn="0" w:lastRowFirstColumn="0" w:lastRowLastColumn="0"/>
            <w:tcW w:w="1366" w:type="dxa"/>
            <w:shd w:val="clear" w:color="auto" w:fill="F2F2F2" w:themeFill="background1" w:themeFillShade="F2"/>
          </w:tcPr>
          <w:p w14:paraId="21F47255" w14:textId="77777777" w:rsidR="005D72AE" w:rsidRPr="00844A25" w:rsidRDefault="005D72AE" w:rsidP="00FA2A1A">
            <w:pPr>
              <w:pStyle w:val="Tablecopy"/>
            </w:pPr>
            <w:r w:rsidRPr="00844A25">
              <w:t>862,941</w:t>
            </w:r>
          </w:p>
        </w:tc>
        <w:tc>
          <w:tcPr>
            <w:cnfStyle w:val="000010000000" w:firstRow="0" w:lastRow="0" w:firstColumn="0" w:lastColumn="0" w:oddVBand="1" w:evenVBand="0" w:oddHBand="0" w:evenHBand="0" w:firstRowFirstColumn="0" w:firstRowLastColumn="0" w:lastRowFirstColumn="0" w:lastRowLastColumn="0"/>
            <w:tcW w:w="1366" w:type="dxa"/>
          </w:tcPr>
          <w:p w14:paraId="39D2E8AB" w14:textId="77777777" w:rsidR="005D72AE" w:rsidRPr="00844A25" w:rsidRDefault="005D72AE" w:rsidP="00FA2A1A">
            <w:pPr>
              <w:pStyle w:val="Tablecopy"/>
            </w:pPr>
            <w:r w:rsidRPr="00844A25">
              <w:t>740,410</w:t>
            </w:r>
          </w:p>
        </w:tc>
      </w:tr>
      <w:tr w:rsidR="005D72AE" w:rsidRPr="00844A25" w14:paraId="4710DA61" w14:textId="77777777" w:rsidTr="00FA2A1A">
        <w:trPr>
          <w:cnfStyle w:val="000000100000" w:firstRow="0" w:lastRow="0" w:firstColumn="0" w:lastColumn="0" w:oddVBand="0" w:evenVBand="0" w:oddHBand="1" w:evenHBand="0" w:firstRowFirstColumn="0" w:firstRowLastColumn="0" w:lastRowFirstColumn="0" w:lastRowLastColumn="0"/>
          <w:trHeight w:val="297"/>
        </w:trPr>
        <w:tc>
          <w:tcPr>
            <w:cnfStyle w:val="000010000000" w:firstRow="0" w:lastRow="0" w:firstColumn="0" w:lastColumn="0" w:oddVBand="1" w:evenVBand="0" w:oddHBand="0" w:evenHBand="0" w:firstRowFirstColumn="0" w:firstRowLastColumn="0" w:lastRowFirstColumn="0" w:lastRowLastColumn="0"/>
            <w:tcW w:w="6164" w:type="dxa"/>
          </w:tcPr>
          <w:p w14:paraId="5F052E70" w14:textId="77777777" w:rsidR="005D72AE" w:rsidRPr="007148B9" w:rsidRDefault="005D72AE" w:rsidP="00FA2A1A">
            <w:pPr>
              <w:pStyle w:val="Tablecopy"/>
              <w:rPr>
                <w:b/>
                <w:bCs/>
              </w:rPr>
            </w:pPr>
            <w:r w:rsidRPr="007148B9">
              <w:rPr>
                <w:b/>
                <w:bCs/>
              </w:rPr>
              <w:t>Total employee expenses</w:t>
            </w:r>
          </w:p>
        </w:tc>
        <w:tc>
          <w:tcPr>
            <w:cnfStyle w:val="000001000000" w:firstRow="0" w:lastRow="0" w:firstColumn="0" w:lastColumn="0" w:oddVBand="0" w:evenVBand="1" w:oddHBand="0" w:evenHBand="0" w:firstRowFirstColumn="0" w:firstRowLastColumn="0" w:lastRowFirstColumn="0" w:lastRowLastColumn="0"/>
            <w:tcW w:w="1366" w:type="dxa"/>
            <w:shd w:val="clear" w:color="auto" w:fill="F2F2F2" w:themeFill="background1" w:themeFillShade="F2"/>
          </w:tcPr>
          <w:p w14:paraId="64D36E1B" w14:textId="77777777" w:rsidR="005D72AE" w:rsidRPr="007148B9" w:rsidRDefault="005D72AE" w:rsidP="00FA2A1A">
            <w:pPr>
              <w:pStyle w:val="Tablecopy"/>
              <w:rPr>
                <w:b/>
                <w:bCs/>
              </w:rPr>
            </w:pPr>
            <w:r w:rsidRPr="007148B9">
              <w:rPr>
                <w:b/>
                <w:bCs/>
              </w:rPr>
              <w:t>18,135,730</w:t>
            </w:r>
          </w:p>
        </w:tc>
        <w:tc>
          <w:tcPr>
            <w:cnfStyle w:val="000010000000" w:firstRow="0" w:lastRow="0" w:firstColumn="0" w:lastColumn="0" w:oddVBand="1" w:evenVBand="0" w:oddHBand="0" w:evenHBand="0" w:firstRowFirstColumn="0" w:firstRowLastColumn="0" w:lastRowFirstColumn="0" w:lastRowLastColumn="0"/>
            <w:tcW w:w="1366" w:type="dxa"/>
          </w:tcPr>
          <w:p w14:paraId="1E33DF79" w14:textId="77777777" w:rsidR="005D72AE" w:rsidRPr="007148B9" w:rsidRDefault="005D72AE" w:rsidP="00FA2A1A">
            <w:pPr>
              <w:pStyle w:val="Tablecopy"/>
              <w:rPr>
                <w:b/>
                <w:bCs/>
              </w:rPr>
            </w:pPr>
            <w:r w:rsidRPr="007148B9">
              <w:rPr>
                <w:b/>
                <w:bCs/>
              </w:rPr>
              <w:t>14,722,716</w:t>
            </w:r>
          </w:p>
        </w:tc>
      </w:tr>
    </w:tbl>
    <w:p w14:paraId="6C96A8A2" w14:textId="77777777" w:rsidR="005D72AE" w:rsidRPr="00844A25" w:rsidRDefault="005D72AE" w:rsidP="005D72AE">
      <w:pPr>
        <w:rPr>
          <w:lang w:val="en-US"/>
        </w:rPr>
      </w:pPr>
      <w:r w:rsidRPr="00844A25">
        <w:rPr>
          <w:lang w:val="en-US"/>
        </w:rPr>
        <w:t>Employee expenses comprise all costs related to employment including wages and salaries, superannuation, leave entitlements, redundancy payments, fringe benefits tax, and WorkCover premiums.</w:t>
      </w:r>
    </w:p>
    <w:p w14:paraId="6AD0302E" w14:textId="77777777" w:rsidR="005D72AE" w:rsidRPr="00844A25" w:rsidRDefault="005D72AE" w:rsidP="005D72AE">
      <w:pPr>
        <w:rPr>
          <w:lang w:val="en-US"/>
        </w:rPr>
      </w:pPr>
      <w:r w:rsidRPr="00844A25">
        <w:rPr>
          <w:lang w:val="en-US"/>
        </w:rPr>
        <w:t>Employment on-costs such as payroll tax, workers compensation and superannuation are not employee benefits. They are disclosed separately as a component of the provision for employee benefits when the employment to which they relate has occurred.</w:t>
      </w:r>
    </w:p>
    <w:p w14:paraId="4FD5531D" w14:textId="77777777" w:rsidR="005D72AE" w:rsidRPr="00844A25" w:rsidRDefault="005D72AE" w:rsidP="005D72AE">
      <w:pPr>
        <w:rPr>
          <w:lang w:val="en-US"/>
        </w:rPr>
      </w:pPr>
      <w:r w:rsidRPr="00844A25">
        <w:rPr>
          <w:lang w:val="en-US"/>
        </w:rPr>
        <w:t>Superannuation expenses represent the employer contributions for members of both defined benefit and defined contribution superannuation plans that are paid or payable during the reporting period.</w:t>
      </w:r>
    </w:p>
    <w:p w14:paraId="45E269DC" w14:textId="77777777" w:rsidR="005D72AE" w:rsidRPr="00844A25" w:rsidRDefault="005D72AE" w:rsidP="005D72AE">
      <w:pPr>
        <w:rPr>
          <w:lang w:val="en-US"/>
        </w:rPr>
      </w:pPr>
      <w:r w:rsidRPr="00844A25">
        <w:rPr>
          <w:lang w:val="en-US"/>
        </w:rPr>
        <w:t>DTF centrally recognises, on behalf of the State as the sponsoring employer, the net defined benefit cost</w:t>
      </w:r>
      <w:r>
        <w:rPr>
          <w:lang w:val="en-US"/>
        </w:rPr>
        <w:t xml:space="preserve"> </w:t>
      </w:r>
      <w:r w:rsidRPr="00844A25">
        <w:rPr>
          <w:lang w:val="en-US"/>
        </w:rPr>
        <w:t>and the defined benefit liability or surplus related to the members of these plans as administered items.</w:t>
      </w:r>
      <w:r>
        <w:rPr>
          <w:lang w:val="en-US"/>
        </w:rPr>
        <w:t xml:space="preserve"> </w:t>
      </w:r>
      <w:r w:rsidRPr="00844A25">
        <w:rPr>
          <w:lang w:val="en-US"/>
        </w:rPr>
        <w:t>Refer to DTF’s annual financial statements for more detailed disclosures in relation to these plans.</w:t>
      </w:r>
    </w:p>
    <w:p w14:paraId="1A03ED19" w14:textId="77777777" w:rsidR="005D72AE" w:rsidRPr="00844A25" w:rsidRDefault="005D72AE" w:rsidP="005D72AE">
      <w:pPr>
        <w:rPr>
          <w:lang w:val="en-US"/>
        </w:rPr>
      </w:pPr>
      <w:r w:rsidRPr="00844A25">
        <w:rPr>
          <w:lang w:val="en-US"/>
        </w:rPr>
        <w:t>Employees of the commission are entitled to receive superannuation benefits and the commission contributes to both defined benefit and defined contribution plans. The defined benefit plans provide benefits based on years of service and final average salary. The basis for contributions are determined by the various schemes.</w:t>
      </w:r>
    </w:p>
    <w:p w14:paraId="23AB9932" w14:textId="77777777" w:rsidR="005D72AE" w:rsidRPr="00844A25" w:rsidRDefault="005D72AE" w:rsidP="005D72AE">
      <w:pPr>
        <w:rPr>
          <w:lang w:val="en-US"/>
        </w:rPr>
      </w:pPr>
      <w:r w:rsidRPr="00844A25">
        <w:rPr>
          <w:lang w:val="en-US"/>
        </w:rPr>
        <w:t>Superannuation contributions paid or payable for the reporting period are included as part of employee benefits in the comprehensive operating statement of the commission.</w:t>
      </w:r>
    </w:p>
    <w:p w14:paraId="0920E716" w14:textId="77777777" w:rsidR="005D72AE" w:rsidRPr="00844A25" w:rsidRDefault="005D72AE" w:rsidP="005D72AE">
      <w:pPr>
        <w:pStyle w:val="Heading4"/>
        <w:pageBreakBefore/>
      </w:pPr>
      <w:r w:rsidRPr="00844A25">
        <w:lastRenderedPageBreak/>
        <w:t>3.1.2. Employee related provisions in the balance sheet</w:t>
      </w:r>
    </w:p>
    <w:p w14:paraId="4E4DFB40" w14:textId="77777777" w:rsidR="005D72AE" w:rsidRPr="00844A25" w:rsidRDefault="005D72AE" w:rsidP="005D72AE">
      <w:pPr>
        <w:rPr>
          <w:lang w:val="en-US"/>
        </w:rPr>
      </w:pPr>
      <w:r w:rsidRPr="00844A25">
        <w:rPr>
          <w:lang w:val="en-US"/>
        </w:rPr>
        <w:t>Provision is made for benefits accruing to employees in respect of wages and salaries, annual leave and long service leave for services rendered to the reporting date and recorded as an expense during the period the services are delivered.</w:t>
      </w:r>
    </w:p>
    <w:tbl>
      <w:tblPr>
        <w:tblStyle w:val="PlainTable2"/>
        <w:tblW w:w="9039" w:type="dxa"/>
        <w:tblLayout w:type="fixed"/>
        <w:tblLook w:val="0000" w:firstRow="0" w:lastRow="0" w:firstColumn="0" w:lastColumn="0" w:noHBand="0" w:noVBand="0"/>
      </w:tblPr>
      <w:tblGrid>
        <w:gridCol w:w="6358"/>
        <w:gridCol w:w="1351"/>
        <w:gridCol w:w="1330"/>
      </w:tblGrid>
      <w:tr w:rsidR="005D72AE" w:rsidRPr="00844A25" w14:paraId="7F037551" w14:textId="77777777" w:rsidTr="00FA2A1A">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6358" w:type="dxa"/>
          </w:tcPr>
          <w:p w14:paraId="20ACB24D" w14:textId="77777777" w:rsidR="005D72AE" w:rsidRPr="00C9776D" w:rsidRDefault="005D72AE" w:rsidP="00FA2A1A">
            <w:pPr>
              <w:pStyle w:val="Tablecopy"/>
              <w:rPr>
                <w:b/>
                <w:bCs/>
              </w:rPr>
            </w:pPr>
          </w:p>
        </w:tc>
        <w:tc>
          <w:tcPr>
            <w:cnfStyle w:val="000001000000" w:firstRow="0" w:lastRow="0" w:firstColumn="0" w:lastColumn="0" w:oddVBand="0" w:evenVBand="1" w:oddHBand="0" w:evenHBand="0" w:firstRowFirstColumn="0" w:firstRowLastColumn="0" w:lastRowFirstColumn="0" w:lastRowLastColumn="0"/>
            <w:tcW w:w="1351" w:type="dxa"/>
            <w:shd w:val="clear" w:color="auto" w:fill="F2F2F2" w:themeFill="background1" w:themeFillShade="F2"/>
          </w:tcPr>
          <w:p w14:paraId="1C40E49B" w14:textId="77777777" w:rsidR="005D72AE" w:rsidRPr="00C9776D" w:rsidRDefault="005D72AE" w:rsidP="00FA2A1A">
            <w:pPr>
              <w:pStyle w:val="Tablecopy"/>
              <w:rPr>
                <w:b/>
                <w:bCs/>
              </w:rPr>
            </w:pPr>
            <w:r w:rsidRPr="00C9776D">
              <w:rPr>
                <w:b/>
                <w:bCs/>
              </w:rPr>
              <w:t>2020</w:t>
            </w:r>
          </w:p>
        </w:tc>
        <w:tc>
          <w:tcPr>
            <w:cnfStyle w:val="000010000000" w:firstRow="0" w:lastRow="0" w:firstColumn="0" w:lastColumn="0" w:oddVBand="1" w:evenVBand="0" w:oddHBand="0" w:evenHBand="0" w:firstRowFirstColumn="0" w:firstRowLastColumn="0" w:lastRowFirstColumn="0" w:lastRowLastColumn="0"/>
            <w:tcW w:w="1330" w:type="dxa"/>
          </w:tcPr>
          <w:p w14:paraId="008EBD5E" w14:textId="77777777" w:rsidR="005D72AE" w:rsidRPr="00C9776D" w:rsidRDefault="005D72AE" w:rsidP="00FA2A1A">
            <w:pPr>
              <w:pStyle w:val="Tablecopy"/>
              <w:rPr>
                <w:b/>
                <w:bCs/>
              </w:rPr>
            </w:pPr>
            <w:r w:rsidRPr="00C9776D">
              <w:rPr>
                <w:b/>
                <w:bCs/>
              </w:rPr>
              <w:t>2019</w:t>
            </w:r>
          </w:p>
        </w:tc>
      </w:tr>
      <w:tr w:rsidR="005D72AE" w:rsidRPr="00844A25" w14:paraId="1E3D3FC5" w14:textId="77777777" w:rsidTr="00FA2A1A">
        <w:trPr>
          <w:trHeight w:val="283"/>
        </w:trPr>
        <w:tc>
          <w:tcPr>
            <w:cnfStyle w:val="000010000000" w:firstRow="0" w:lastRow="0" w:firstColumn="0" w:lastColumn="0" w:oddVBand="1" w:evenVBand="0" w:oddHBand="0" w:evenHBand="0" w:firstRowFirstColumn="0" w:firstRowLastColumn="0" w:lastRowFirstColumn="0" w:lastRowLastColumn="0"/>
            <w:tcW w:w="6358" w:type="dxa"/>
          </w:tcPr>
          <w:p w14:paraId="42B8B124" w14:textId="77777777" w:rsidR="005D72AE" w:rsidRPr="00C9776D" w:rsidRDefault="005D72AE" w:rsidP="00FA2A1A">
            <w:pPr>
              <w:pStyle w:val="Tablecopy"/>
              <w:rPr>
                <w:b/>
                <w:bCs/>
              </w:rPr>
            </w:pPr>
            <w:r w:rsidRPr="00C9776D">
              <w:rPr>
                <w:b/>
                <w:bCs/>
              </w:rPr>
              <w:t>Provisions</w:t>
            </w:r>
          </w:p>
        </w:tc>
        <w:tc>
          <w:tcPr>
            <w:cnfStyle w:val="000001000000" w:firstRow="0" w:lastRow="0" w:firstColumn="0" w:lastColumn="0" w:oddVBand="0" w:evenVBand="1" w:oddHBand="0" w:evenHBand="0" w:firstRowFirstColumn="0" w:firstRowLastColumn="0" w:lastRowFirstColumn="0" w:lastRowLastColumn="0"/>
            <w:tcW w:w="1351" w:type="dxa"/>
            <w:shd w:val="clear" w:color="auto" w:fill="F2F2F2" w:themeFill="background1" w:themeFillShade="F2"/>
          </w:tcPr>
          <w:p w14:paraId="42709C1A" w14:textId="77777777" w:rsidR="005D72AE" w:rsidRPr="00C9776D" w:rsidRDefault="005D72AE" w:rsidP="00FA2A1A">
            <w:pPr>
              <w:pStyle w:val="Tablecopy"/>
              <w:rPr>
                <w:b/>
                <w:bCs/>
              </w:rPr>
            </w:pPr>
            <w:r w:rsidRPr="00C9776D">
              <w:rPr>
                <w:b/>
                <w:bCs/>
              </w:rPr>
              <w:t>$</w:t>
            </w:r>
          </w:p>
        </w:tc>
        <w:tc>
          <w:tcPr>
            <w:cnfStyle w:val="000010000000" w:firstRow="0" w:lastRow="0" w:firstColumn="0" w:lastColumn="0" w:oddVBand="1" w:evenVBand="0" w:oddHBand="0" w:evenHBand="0" w:firstRowFirstColumn="0" w:firstRowLastColumn="0" w:lastRowFirstColumn="0" w:lastRowLastColumn="0"/>
            <w:tcW w:w="1330" w:type="dxa"/>
          </w:tcPr>
          <w:p w14:paraId="75216C1B" w14:textId="77777777" w:rsidR="005D72AE" w:rsidRPr="00C9776D" w:rsidRDefault="005D72AE" w:rsidP="00FA2A1A">
            <w:pPr>
              <w:pStyle w:val="Tablecopy"/>
              <w:rPr>
                <w:b/>
                <w:bCs/>
              </w:rPr>
            </w:pPr>
            <w:r w:rsidRPr="00C9776D">
              <w:rPr>
                <w:b/>
                <w:bCs/>
              </w:rPr>
              <w:t>$</w:t>
            </w:r>
          </w:p>
        </w:tc>
      </w:tr>
      <w:tr w:rsidR="005D72AE" w:rsidRPr="00844A25" w14:paraId="6C6513C2" w14:textId="77777777" w:rsidTr="00FA2A1A">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6358" w:type="dxa"/>
          </w:tcPr>
          <w:p w14:paraId="2EC43B10" w14:textId="77777777" w:rsidR="005D72AE" w:rsidRPr="007148B9" w:rsidRDefault="005D72AE" w:rsidP="00FA2A1A">
            <w:pPr>
              <w:pStyle w:val="Tablecopy"/>
              <w:rPr>
                <w:b/>
                <w:bCs/>
              </w:rPr>
            </w:pPr>
            <w:r w:rsidRPr="007148B9">
              <w:rPr>
                <w:b/>
                <w:bCs/>
              </w:rPr>
              <w:t>Current:</w:t>
            </w:r>
          </w:p>
        </w:tc>
        <w:tc>
          <w:tcPr>
            <w:cnfStyle w:val="000001000000" w:firstRow="0" w:lastRow="0" w:firstColumn="0" w:lastColumn="0" w:oddVBand="0" w:evenVBand="1" w:oddHBand="0" w:evenHBand="0" w:firstRowFirstColumn="0" w:firstRowLastColumn="0" w:lastRowFirstColumn="0" w:lastRowLastColumn="0"/>
            <w:tcW w:w="1351" w:type="dxa"/>
            <w:shd w:val="clear" w:color="auto" w:fill="F2F2F2" w:themeFill="background1" w:themeFillShade="F2"/>
          </w:tcPr>
          <w:p w14:paraId="391AAE21" w14:textId="77777777" w:rsidR="005D72AE" w:rsidRPr="007148B9" w:rsidRDefault="005D72AE" w:rsidP="00FA2A1A">
            <w:pPr>
              <w:pStyle w:val="Tablecopy"/>
              <w:rPr>
                <w:b/>
                <w:bCs/>
              </w:rPr>
            </w:pPr>
          </w:p>
        </w:tc>
        <w:tc>
          <w:tcPr>
            <w:cnfStyle w:val="000010000000" w:firstRow="0" w:lastRow="0" w:firstColumn="0" w:lastColumn="0" w:oddVBand="1" w:evenVBand="0" w:oddHBand="0" w:evenHBand="0" w:firstRowFirstColumn="0" w:firstRowLastColumn="0" w:lastRowFirstColumn="0" w:lastRowLastColumn="0"/>
            <w:tcW w:w="1330" w:type="dxa"/>
          </w:tcPr>
          <w:p w14:paraId="4F96EF3F" w14:textId="77777777" w:rsidR="005D72AE" w:rsidRPr="007148B9" w:rsidRDefault="005D72AE" w:rsidP="00FA2A1A">
            <w:pPr>
              <w:pStyle w:val="Tablecopy"/>
              <w:rPr>
                <w:b/>
                <w:bCs/>
              </w:rPr>
            </w:pPr>
          </w:p>
        </w:tc>
      </w:tr>
      <w:tr w:rsidR="005D72AE" w:rsidRPr="00844A25" w14:paraId="4ED0CF3C" w14:textId="77777777" w:rsidTr="00FA2A1A">
        <w:trPr>
          <w:trHeight w:val="355"/>
        </w:trPr>
        <w:tc>
          <w:tcPr>
            <w:cnfStyle w:val="000010000000" w:firstRow="0" w:lastRow="0" w:firstColumn="0" w:lastColumn="0" w:oddVBand="1" w:evenVBand="0" w:oddHBand="0" w:evenHBand="0" w:firstRowFirstColumn="0" w:firstRowLastColumn="0" w:lastRowFirstColumn="0" w:lastRowLastColumn="0"/>
            <w:tcW w:w="6358" w:type="dxa"/>
          </w:tcPr>
          <w:p w14:paraId="7CB3EB70" w14:textId="77777777" w:rsidR="005D72AE" w:rsidRPr="007148B9" w:rsidRDefault="005D72AE" w:rsidP="00FA2A1A">
            <w:pPr>
              <w:pStyle w:val="Tablecopy"/>
              <w:rPr>
                <w:b/>
                <w:bCs/>
              </w:rPr>
            </w:pPr>
            <w:r w:rsidRPr="007148B9">
              <w:rPr>
                <w:b/>
                <w:bCs/>
              </w:rPr>
              <w:t>Annual leave</w:t>
            </w:r>
          </w:p>
        </w:tc>
        <w:tc>
          <w:tcPr>
            <w:cnfStyle w:val="000001000000" w:firstRow="0" w:lastRow="0" w:firstColumn="0" w:lastColumn="0" w:oddVBand="0" w:evenVBand="1" w:oddHBand="0" w:evenHBand="0" w:firstRowFirstColumn="0" w:firstRowLastColumn="0" w:lastRowFirstColumn="0" w:lastRowLastColumn="0"/>
            <w:tcW w:w="1351" w:type="dxa"/>
            <w:shd w:val="clear" w:color="auto" w:fill="F2F2F2" w:themeFill="background1" w:themeFillShade="F2"/>
          </w:tcPr>
          <w:p w14:paraId="1D5C3288" w14:textId="77777777" w:rsidR="005D72AE" w:rsidRPr="007148B9" w:rsidRDefault="005D72AE" w:rsidP="00FA2A1A">
            <w:pPr>
              <w:pStyle w:val="Tablecopy"/>
              <w:rPr>
                <w:b/>
                <w:bCs/>
              </w:rPr>
            </w:pPr>
          </w:p>
        </w:tc>
        <w:tc>
          <w:tcPr>
            <w:cnfStyle w:val="000010000000" w:firstRow="0" w:lastRow="0" w:firstColumn="0" w:lastColumn="0" w:oddVBand="1" w:evenVBand="0" w:oddHBand="0" w:evenHBand="0" w:firstRowFirstColumn="0" w:firstRowLastColumn="0" w:lastRowFirstColumn="0" w:lastRowLastColumn="0"/>
            <w:tcW w:w="1330" w:type="dxa"/>
          </w:tcPr>
          <w:p w14:paraId="750B5535" w14:textId="77777777" w:rsidR="005D72AE" w:rsidRPr="007148B9" w:rsidRDefault="005D72AE" w:rsidP="00FA2A1A">
            <w:pPr>
              <w:pStyle w:val="Tablecopy"/>
              <w:rPr>
                <w:b/>
                <w:bCs/>
              </w:rPr>
            </w:pPr>
          </w:p>
        </w:tc>
      </w:tr>
      <w:tr w:rsidR="005D72AE" w:rsidRPr="00844A25" w14:paraId="61990659" w14:textId="77777777" w:rsidTr="00FA2A1A">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6358" w:type="dxa"/>
          </w:tcPr>
          <w:p w14:paraId="3BAB09BD" w14:textId="77777777" w:rsidR="005D72AE" w:rsidRPr="00844A25" w:rsidRDefault="005D72AE" w:rsidP="00FA2A1A">
            <w:pPr>
              <w:pStyle w:val="Tablecopy"/>
            </w:pPr>
            <w:r w:rsidRPr="00844A25">
              <w:t>- Unconditional and expected to settle within 12 months</w:t>
            </w:r>
          </w:p>
        </w:tc>
        <w:tc>
          <w:tcPr>
            <w:cnfStyle w:val="000001000000" w:firstRow="0" w:lastRow="0" w:firstColumn="0" w:lastColumn="0" w:oddVBand="0" w:evenVBand="1" w:oddHBand="0" w:evenHBand="0" w:firstRowFirstColumn="0" w:firstRowLastColumn="0" w:lastRowFirstColumn="0" w:lastRowLastColumn="0"/>
            <w:tcW w:w="1351" w:type="dxa"/>
            <w:shd w:val="clear" w:color="auto" w:fill="F2F2F2" w:themeFill="background1" w:themeFillShade="F2"/>
          </w:tcPr>
          <w:p w14:paraId="2BA16271" w14:textId="77777777" w:rsidR="005D72AE" w:rsidRPr="00844A25" w:rsidRDefault="005D72AE" w:rsidP="00FA2A1A">
            <w:pPr>
              <w:pStyle w:val="Tablecopy"/>
            </w:pPr>
            <w:r w:rsidRPr="00844A25">
              <w:t>1,204,422</w:t>
            </w:r>
          </w:p>
        </w:tc>
        <w:tc>
          <w:tcPr>
            <w:cnfStyle w:val="000010000000" w:firstRow="0" w:lastRow="0" w:firstColumn="0" w:lastColumn="0" w:oddVBand="1" w:evenVBand="0" w:oddHBand="0" w:evenHBand="0" w:firstRowFirstColumn="0" w:firstRowLastColumn="0" w:lastRowFirstColumn="0" w:lastRowLastColumn="0"/>
            <w:tcW w:w="1330" w:type="dxa"/>
          </w:tcPr>
          <w:p w14:paraId="694A472A" w14:textId="77777777" w:rsidR="005D72AE" w:rsidRPr="00844A25" w:rsidRDefault="005D72AE" w:rsidP="00FA2A1A">
            <w:pPr>
              <w:pStyle w:val="Tablecopy"/>
            </w:pPr>
            <w:r w:rsidRPr="00844A25">
              <w:t>777,768</w:t>
            </w:r>
          </w:p>
        </w:tc>
      </w:tr>
      <w:tr w:rsidR="005D72AE" w:rsidRPr="00844A25" w14:paraId="6F043EC6" w14:textId="77777777" w:rsidTr="00FA2A1A">
        <w:trPr>
          <w:trHeight w:val="283"/>
        </w:trPr>
        <w:tc>
          <w:tcPr>
            <w:cnfStyle w:val="000010000000" w:firstRow="0" w:lastRow="0" w:firstColumn="0" w:lastColumn="0" w:oddVBand="1" w:evenVBand="0" w:oddHBand="0" w:evenHBand="0" w:firstRowFirstColumn="0" w:firstRowLastColumn="0" w:lastRowFirstColumn="0" w:lastRowLastColumn="0"/>
            <w:tcW w:w="6358" w:type="dxa"/>
          </w:tcPr>
          <w:p w14:paraId="46957A58" w14:textId="77777777" w:rsidR="005D72AE" w:rsidRPr="00844A25" w:rsidRDefault="005D72AE" w:rsidP="00FA2A1A">
            <w:pPr>
              <w:pStyle w:val="Tablecopy"/>
            </w:pPr>
            <w:r w:rsidRPr="00844A25">
              <w:t>- Unconditional and expected to settle after 12 months</w:t>
            </w:r>
          </w:p>
        </w:tc>
        <w:tc>
          <w:tcPr>
            <w:cnfStyle w:val="000001000000" w:firstRow="0" w:lastRow="0" w:firstColumn="0" w:lastColumn="0" w:oddVBand="0" w:evenVBand="1" w:oddHBand="0" w:evenHBand="0" w:firstRowFirstColumn="0" w:firstRowLastColumn="0" w:lastRowFirstColumn="0" w:lastRowLastColumn="0"/>
            <w:tcW w:w="1351" w:type="dxa"/>
            <w:shd w:val="clear" w:color="auto" w:fill="F2F2F2" w:themeFill="background1" w:themeFillShade="F2"/>
          </w:tcPr>
          <w:p w14:paraId="6F835F07" w14:textId="77777777" w:rsidR="005D72AE" w:rsidRPr="00844A25" w:rsidRDefault="005D72AE" w:rsidP="00FA2A1A">
            <w:pPr>
              <w:pStyle w:val="Tablecopy"/>
            </w:pPr>
            <w:r w:rsidRPr="00844A25">
              <w:t>331,373</w:t>
            </w:r>
          </w:p>
        </w:tc>
        <w:tc>
          <w:tcPr>
            <w:cnfStyle w:val="000010000000" w:firstRow="0" w:lastRow="0" w:firstColumn="0" w:lastColumn="0" w:oddVBand="1" w:evenVBand="0" w:oddHBand="0" w:evenHBand="0" w:firstRowFirstColumn="0" w:firstRowLastColumn="0" w:lastRowFirstColumn="0" w:lastRowLastColumn="0"/>
            <w:tcW w:w="1330" w:type="dxa"/>
          </w:tcPr>
          <w:p w14:paraId="1DE18050" w14:textId="77777777" w:rsidR="005D72AE" w:rsidRPr="00844A25" w:rsidRDefault="005D72AE" w:rsidP="00FA2A1A">
            <w:pPr>
              <w:pStyle w:val="Tablecopy"/>
            </w:pPr>
            <w:r w:rsidRPr="00844A25">
              <w:t>184,083</w:t>
            </w:r>
          </w:p>
        </w:tc>
      </w:tr>
      <w:tr w:rsidR="005D72AE" w:rsidRPr="00844A25" w14:paraId="23E74D79" w14:textId="77777777" w:rsidTr="00FA2A1A">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6358" w:type="dxa"/>
          </w:tcPr>
          <w:p w14:paraId="10E9173C" w14:textId="77777777" w:rsidR="005D72AE" w:rsidRPr="00844A25" w:rsidRDefault="005D72AE" w:rsidP="00FA2A1A">
            <w:pPr>
              <w:pStyle w:val="Tablecopy"/>
            </w:pPr>
            <w:r w:rsidRPr="00844A25">
              <w:t>Long service leave</w:t>
            </w:r>
          </w:p>
        </w:tc>
        <w:tc>
          <w:tcPr>
            <w:cnfStyle w:val="000001000000" w:firstRow="0" w:lastRow="0" w:firstColumn="0" w:lastColumn="0" w:oddVBand="0" w:evenVBand="1" w:oddHBand="0" w:evenHBand="0" w:firstRowFirstColumn="0" w:firstRowLastColumn="0" w:lastRowFirstColumn="0" w:lastRowLastColumn="0"/>
            <w:tcW w:w="1351" w:type="dxa"/>
            <w:shd w:val="clear" w:color="auto" w:fill="F2F2F2" w:themeFill="background1" w:themeFillShade="F2"/>
          </w:tcPr>
          <w:p w14:paraId="592D2273" w14:textId="77777777" w:rsidR="005D72AE" w:rsidRPr="00844A25" w:rsidRDefault="005D72AE" w:rsidP="00FA2A1A">
            <w:pPr>
              <w:pStyle w:val="Tablecopy"/>
            </w:pPr>
          </w:p>
        </w:tc>
        <w:tc>
          <w:tcPr>
            <w:cnfStyle w:val="000010000000" w:firstRow="0" w:lastRow="0" w:firstColumn="0" w:lastColumn="0" w:oddVBand="1" w:evenVBand="0" w:oddHBand="0" w:evenHBand="0" w:firstRowFirstColumn="0" w:firstRowLastColumn="0" w:lastRowFirstColumn="0" w:lastRowLastColumn="0"/>
            <w:tcW w:w="1330" w:type="dxa"/>
          </w:tcPr>
          <w:p w14:paraId="338F84D2" w14:textId="77777777" w:rsidR="005D72AE" w:rsidRPr="00844A25" w:rsidRDefault="005D72AE" w:rsidP="00FA2A1A">
            <w:pPr>
              <w:pStyle w:val="Tablecopy"/>
            </w:pPr>
          </w:p>
        </w:tc>
      </w:tr>
      <w:tr w:rsidR="005D72AE" w:rsidRPr="00844A25" w14:paraId="739128BE" w14:textId="77777777" w:rsidTr="00FA2A1A">
        <w:trPr>
          <w:trHeight w:val="283"/>
        </w:trPr>
        <w:tc>
          <w:tcPr>
            <w:cnfStyle w:val="000010000000" w:firstRow="0" w:lastRow="0" w:firstColumn="0" w:lastColumn="0" w:oddVBand="1" w:evenVBand="0" w:oddHBand="0" w:evenHBand="0" w:firstRowFirstColumn="0" w:firstRowLastColumn="0" w:lastRowFirstColumn="0" w:lastRowLastColumn="0"/>
            <w:tcW w:w="6358" w:type="dxa"/>
          </w:tcPr>
          <w:p w14:paraId="7B93E4FC" w14:textId="77777777" w:rsidR="005D72AE" w:rsidRPr="00844A25" w:rsidRDefault="005D72AE" w:rsidP="00FA2A1A">
            <w:pPr>
              <w:pStyle w:val="Tablecopy"/>
            </w:pPr>
            <w:r w:rsidRPr="00844A25">
              <w:t>- Unconditional and expected to settle within 12 months</w:t>
            </w:r>
          </w:p>
        </w:tc>
        <w:tc>
          <w:tcPr>
            <w:cnfStyle w:val="000001000000" w:firstRow="0" w:lastRow="0" w:firstColumn="0" w:lastColumn="0" w:oddVBand="0" w:evenVBand="1" w:oddHBand="0" w:evenHBand="0" w:firstRowFirstColumn="0" w:firstRowLastColumn="0" w:lastRowFirstColumn="0" w:lastRowLastColumn="0"/>
            <w:tcW w:w="1351" w:type="dxa"/>
            <w:shd w:val="clear" w:color="auto" w:fill="F2F2F2" w:themeFill="background1" w:themeFillShade="F2"/>
          </w:tcPr>
          <w:p w14:paraId="73C48311" w14:textId="77777777" w:rsidR="005D72AE" w:rsidRPr="00844A25" w:rsidRDefault="005D72AE" w:rsidP="00FA2A1A">
            <w:pPr>
              <w:pStyle w:val="Tablecopy"/>
            </w:pPr>
            <w:r w:rsidRPr="00844A25">
              <w:t>332,894</w:t>
            </w:r>
          </w:p>
        </w:tc>
        <w:tc>
          <w:tcPr>
            <w:cnfStyle w:val="000010000000" w:firstRow="0" w:lastRow="0" w:firstColumn="0" w:lastColumn="0" w:oddVBand="1" w:evenVBand="0" w:oddHBand="0" w:evenHBand="0" w:firstRowFirstColumn="0" w:firstRowLastColumn="0" w:lastRowFirstColumn="0" w:lastRowLastColumn="0"/>
            <w:tcW w:w="1330" w:type="dxa"/>
          </w:tcPr>
          <w:p w14:paraId="54E51631" w14:textId="77777777" w:rsidR="005D72AE" w:rsidRPr="00844A25" w:rsidRDefault="005D72AE" w:rsidP="00FA2A1A">
            <w:pPr>
              <w:pStyle w:val="Tablecopy"/>
            </w:pPr>
            <w:r w:rsidRPr="00844A25">
              <w:t>279,644</w:t>
            </w:r>
          </w:p>
        </w:tc>
      </w:tr>
      <w:tr w:rsidR="005D72AE" w:rsidRPr="00844A25" w14:paraId="05469D6D" w14:textId="77777777" w:rsidTr="00FA2A1A">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6358" w:type="dxa"/>
          </w:tcPr>
          <w:p w14:paraId="22D50426" w14:textId="77777777" w:rsidR="005D72AE" w:rsidRPr="00844A25" w:rsidRDefault="005D72AE" w:rsidP="00FA2A1A">
            <w:pPr>
              <w:pStyle w:val="Tablecopy"/>
            </w:pPr>
            <w:r w:rsidRPr="00844A25">
              <w:t>- Unconditional and expected to settle after 12 months</w:t>
            </w:r>
          </w:p>
        </w:tc>
        <w:tc>
          <w:tcPr>
            <w:cnfStyle w:val="000001000000" w:firstRow="0" w:lastRow="0" w:firstColumn="0" w:lastColumn="0" w:oddVBand="0" w:evenVBand="1" w:oddHBand="0" w:evenHBand="0" w:firstRowFirstColumn="0" w:firstRowLastColumn="0" w:lastRowFirstColumn="0" w:lastRowLastColumn="0"/>
            <w:tcW w:w="1351" w:type="dxa"/>
            <w:shd w:val="clear" w:color="auto" w:fill="F2F2F2" w:themeFill="background1" w:themeFillShade="F2"/>
          </w:tcPr>
          <w:p w14:paraId="610CFAD9" w14:textId="77777777" w:rsidR="005D72AE" w:rsidRPr="00844A25" w:rsidRDefault="005D72AE" w:rsidP="00FA2A1A">
            <w:pPr>
              <w:pStyle w:val="Tablecopy"/>
            </w:pPr>
            <w:r w:rsidRPr="00844A25">
              <w:t>2,131,729</w:t>
            </w:r>
          </w:p>
        </w:tc>
        <w:tc>
          <w:tcPr>
            <w:cnfStyle w:val="000010000000" w:firstRow="0" w:lastRow="0" w:firstColumn="0" w:lastColumn="0" w:oddVBand="1" w:evenVBand="0" w:oddHBand="0" w:evenHBand="0" w:firstRowFirstColumn="0" w:firstRowLastColumn="0" w:lastRowFirstColumn="0" w:lastRowLastColumn="0"/>
            <w:tcW w:w="1330" w:type="dxa"/>
          </w:tcPr>
          <w:p w14:paraId="4A0036E4" w14:textId="77777777" w:rsidR="005D72AE" w:rsidRPr="00844A25" w:rsidRDefault="005D72AE" w:rsidP="00FA2A1A">
            <w:pPr>
              <w:pStyle w:val="Tablecopy"/>
            </w:pPr>
            <w:r w:rsidRPr="00844A25">
              <w:t>1,758,885</w:t>
            </w:r>
          </w:p>
        </w:tc>
      </w:tr>
      <w:tr w:rsidR="005D72AE" w:rsidRPr="00844A25" w14:paraId="3D5710FA" w14:textId="77777777" w:rsidTr="00FA2A1A">
        <w:trPr>
          <w:trHeight w:val="283"/>
        </w:trPr>
        <w:tc>
          <w:tcPr>
            <w:cnfStyle w:val="000010000000" w:firstRow="0" w:lastRow="0" w:firstColumn="0" w:lastColumn="0" w:oddVBand="1" w:evenVBand="0" w:oddHBand="0" w:evenHBand="0" w:firstRowFirstColumn="0" w:firstRowLastColumn="0" w:lastRowFirstColumn="0" w:lastRowLastColumn="0"/>
            <w:tcW w:w="6358" w:type="dxa"/>
          </w:tcPr>
          <w:p w14:paraId="011214DA" w14:textId="77777777" w:rsidR="005D72AE" w:rsidRPr="00844A25" w:rsidRDefault="005D72AE" w:rsidP="00FA2A1A">
            <w:pPr>
              <w:pStyle w:val="Tablecopy"/>
            </w:pPr>
            <w:r w:rsidRPr="00844A25">
              <w:t>Performance bonus</w:t>
            </w:r>
          </w:p>
        </w:tc>
        <w:tc>
          <w:tcPr>
            <w:cnfStyle w:val="000001000000" w:firstRow="0" w:lastRow="0" w:firstColumn="0" w:lastColumn="0" w:oddVBand="0" w:evenVBand="1" w:oddHBand="0" w:evenHBand="0" w:firstRowFirstColumn="0" w:firstRowLastColumn="0" w:lastRowFirstColumn="0" w:lastRowLastColumn="0"/>
            <w:tcW w:w="1351" w:type="dxa"/>
            <w:shd w:val="clear" w:color="auto" w:fill="F2F2F2" w:themeFill="background1" w:themeFillShade="F2"/>
          </w:tcPr>
          <w:p w14:paraId="2DB68FCA" w14:textId="77777777" w:rsidR="005D72AE" w:rsidRPr="00844A25" w:rsidRDefault="005D72AE" w:rsidP="00FA2A1A">
            <w:pPr>
              <w:pStyle w:val="Tablecopy"/>
            </w:pPr>
            <w:r w:rsidRPr="00844A25">
              <w:t>-</w:t>
            </w:r>
          </w:p>
        </w:tc>
        <w:tc>
          <w:tcPr>
            <w:cnfStyle w:val="000010000000" w:firstRow="0" w:lastRow="0" w:firstColumn="0" w:lastColumn="0" w:oddVBand="1" w:evenVBand="0" w:oddHBand="0" w:evenHBand="0" w:firstRowFirstColumn="0" w:firstRowLastColumn="0" w:lastRowFirstColumn="0" w:lastRowLastColumn="0"/>
            <w:tcW w:w="1330" w:type="dxa"/>
          </w:tcPr>
          <w:p w14:paraId="4FB712BF" w14:textId="77777777" w:rsidR="005D72AE" w:rsidRPr="00844A25" w:rsidRDefault="005D72AE" w:rsidP="00FA2A1A">
            <w:pPr>
              <w:pStyle w:val="Tablecopy"/>
            </w:pPr>
            <w:r w:rsidRPr="00844A25">
              <w:t>36,500</w:t>
            </w:r>
          </w:p>
        </w:tc>
      </w:tr>
      <w:tr w:rsidR="005D72AE" w:rsidRPr="00844A25" w14:paraId="2CDACF5D" w14:textId="77777777" w:rsidTr="00FA2A1A">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358" w:type="dxa"/>
          </w:tcPr>
          <w:p w14:paraId="5033120C" w14:textId="77777777" w:rsidR="005D72AE" w:rsidRPr="00AB2827" w:rsidRDefault="005D72AE" w:rsidP="00FA2A1A">
            <w:pPr>
              <w:pStyle w:val="Tablecopy"/>
              <w:rPr>
                <w:b/>
                <w:bCs/>
              </w:rPr>
            </w:pPr>
            <w:r w:rsidRPr="00AB2827">
              <w:rPr>
                <w:b/>
                <w:bCs/>
              </w:rPr>
              <w:t>Total current employee related provisions</w:t>
            </w:r>
          </w:p>
        </w:tc>
        <w:tc>
          <w:tcPr>
            <w:cnfStyle w:val="000001000000" w:firstRow="0" w:lastRow="0" w:firstColumn="0" w:lastColumn="0" w:oddVBand="0" w:evenVBand="1" w:oddHBand="0" w:evenHBand="0" w:firstRowFirstColumn="0" w:firstRowLastColumn="0" w:lastRowFirstColumn="0" w:lastRowLastColumn="0"/>
            <w:tcW w:w="1351" w:type="dxa"/>
            <w:shd w:val="clear" w:color="auto" w:fill="F2F2F2" w:themeFill="background1" w:themeFillShade="F2"/>
          </w:tcPr>
          <w:p w14:paraId="52483E49" w14:textId="77777777" w:rsidR="005D72AE" w:rsidRPr="00AB2827" w:rsidRDefault="005D72AE" w:rsidP="00FA2A1A">
            <w:pPr>
              <w:pStyle w:val="Tablecopy"/>
              <w:rPr>
                <w:b/>
                <w:bCs/>
              </w:rPr>
            </w:pPr>
            <w:r w:rsidRPr="00AB2827">
              <w:rPr>
                <w:b/>
                <w:bCs/>
              </w:rPr>
              <w:t>4,000,418</w:t>
            </w:r>
          </w:p>
        </w:tc>
        <w:tc>
          <w:tcPr>
            <w:cnfStyle w:val="000010000000" w:firstRow="0" w:lastRow="0" w:firstColumn="0" w:lastColumn="0" w:oddVBand="1" w:evenVBand="0" w:oddHBand="0" w:evenHBand="0" w:firstRowFirstColumn="0" w:firstRowLastColumn="0" w:lastRowFirstColumn="0" w:lastRowLastColumn="0"/>
            <w:tcW w:w="1330" w:type="dxa"/>
          </w:tcPr>
          <w:p w14:paraId="388A4DE3" w14:textId="77777777" w:rsidR="005D72AE" w:rsidRPr="00AB2827" w:rsidRDefault="005D72AE" w:rsidP="00FA2A1A">
            <w:pPr>
              <w:pStyle w:val="Tablecopy"/>
              <w:rPr>
                <w:b/>
                <w:bCs/>
              </w:rPr>
            </w:pPr>
            <w:r w:rsidRPr="00AB2827">
              <w:rPr>
                <w:b/>
                <w:bCs/>
              </w:rPr>
              <w:t xml:space="preserve"> 3,036,880</w:t>
            </w:r>
          </w:p>
        </w:tc>
      </w:tr>
      <w:tr w:rsidR="005D72AE" w:rsidRPr="00844A25" w14:paraId="6DC54A43" w14:textId="77777777" w:rsidTr="00FA2A1A">
        <w:trPr>
          <w:trHeight w:val="283"/>
        </w:trPr>
        <w:tc>
          <w:tcPr>
            <w:cnfStyle w:val="000010000000" w:firstRow="0" w:lastRow="0" w:firstColumn="0" w:lastColumn="0" w:oddVBand="1" w:evenVBand="0" w:oddHBand="0" w:evenHBand="0" w:firstRowFirstColumn="0" w:firstRowLastColumn="0" w:lastRowFirstColumn="0" w:lastRowLastColumn="0"/>
            <w:tcW w:w="6358" w:type="dxa"/>
          </w:tcPr>
          <w:p w14:paraId="6151EAB7" w14:textId="77777777" w:rsidR="005D72AE" w:rsidRPr="00844A25" w:rsidRDefault="005D72AE" w:rsidP="00FA2A1A">
            <w:pPr>
              <w:pStyle w:val="Tablecopy"/>
            </w:pPr>
          </w:p>
        </w:tc>
        <w:tc>
          <w:tcPr>
            <w:cnfStyle w:val="000001000000" w:firstRow="0" w:lastRow="0" w:firstColumn="0" w:lastColumn="0" w:oddVBand="0" w:evenVBand="1" w:oddHBand="0" w:evenHBand="0" w:firstRowFirstColumn="0" w:firstRowLastColumn="0" w:lastRowFirstColumn="0" w:lastRowLastColumn="0"/>
            <w:tcW w:w="1351" w:type="dxa"/>
            <w:shd w:val="clear" w:color="auto" w:fill="F2F2F2" w:themeFill="background1" w:themeFillShade="F2"/>
          </w:tcPr>
          <w:p w14:paraId="1EA656B5" w14:textId="77777777" w:rsidR="005D72AE" w:rsidRPr="00844A25" w:rsidRDefault="005D72AE" w:rsidP="00FA2A1A">
            <w:pPr>
              <w:pStyle w:val="Tablecopy"/>
            </w:pPr>
          </w:p>
        </w:tc>
        <w:tc>
          <w:tcPr>
            <w:cnfStyle w:val="000010000000" w:firstRow="0" w:lastRow="0" w:firstColumn="0" w:lastColumn="0" w:oddVBand="1" w:evenVBand="0" w:oddHBand="0" w:evenHBand="0" w:firstRowFirstColumn="0" w:firstRowLastColumn="0" w:lastRowFirstColumn="0" w:lastRowLastColumn="0"/>
            <w:tcW w:w="1330" w:type="dxa"/>
          </w:tcPr>
          <w:p w14:paraId="6E592AA1" w14:textId="77777777" w:rsidR="005D72AE" w:rsidRPr="00844A25" w:rsidRDefault="005D72AE" w:rsidP="00FA2A1A">
            <w:pPr>
              <w:pStyle w:val="Tablecopy"/>
            </w:pPr>
          </w:p>
        </w:tc>
      </w:tr>
      <w:tr w:rsidR="005D72AE" w:rsidRPr="00844A25" w14:paraId="708F9000" w14:textId="77777777" w:rsidTr="00FA2A1A">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6358" w:type="dxa"/>
          </w:tcPr>
          <w:p w14:paraId="44BEDC35" w14:textId="77777777" w:rsidR="005D72AE" w:rsidRPr="00AB2827" w:rsidRDefault="005D72AE" w:rsidP="00FA2A1A">
            <w:pPr>
              <w:pStyle w:val="Tablecopy"/>
              <w:rPr>
                <w:b/>
                <w:bCs/>
              </w:rPr>
            </w:pPr>
            <w:r w:rsidRPr="00AB2827">
              <w:rPr>
                <w:b/>
                <w:bCs/>
              </w:rPr>
              <w:t xml:space="preserve">Non-current: </w:t>
            </w:r>
          </w:p>
        </w:tc>
        <w:tc>
          <w:tcPr>
            <w:cnfStyle w:val="000001000000" w:firstRow="0" w:lastRow="0" w:firstColumn="0" w:lastColumn="0" w:oddVBand="0" w:evenVBand="1" w:oddHBand="0" w:evenHBand="0" w:firstRowFirstColumn="0" w:firstRowLastColumn="0" w:lastRowFirstColumn="0" w:lastRowLastColumn="0"/>
            <w:tcW w:w="1351" w:type="dxa"/>
            <w:shd w:val="clear" w:color="auto" w:fill="F2F2F2" w:themeFill="background1" w:themeFillShade="F2"/>
          </w:tcPr>
          <w:p w14:paraId="6912BE6F" w14:textId="77777777" w:rsidR="005D72AE" w:rsidRPr="00AB2827" w:rsidRDefault="005D72AE" w:rsidP="00FA2A1A">
            <w:pPr>
              <w:pStyle w:val="Tablecopy"/>
              <w:rPr>
                <w:b/>
                <w:bCs/>
              </w:rPr>
            </w:pPr>
          </w:p>
        </w:tc>
        <w:tc>
          <w:tcPr>
            <w:cnfStyle w:val="000010000000" w:firstRow="0" w:lastRow="0" w:firstColumn="0" w:lastColumn="0" w:oddVBand="1" w:evenVBand="0" w:oddHBand="0" w:evenHBand="0" w:firstRowFirstColumn="0" w:firstRowLastColumn="0" w:lastRowFirstColumn="0" w:lastRowLastColumn="0"/>
            <w:tcW w:w="1330" w:type="dxa"/>
          </w:tcPr>
          <w:p w14:paraId="0F2098B8" w14:textId="77777777" w:rsidR="005D72AE" w:rsidRPr="00844A25" w:rsidRDefault="005D72AE" w:rsidP="00FA2A1A">
            <w:pPr>
              <w:pStyle w:val="Tablecopy"/>
            </w:pPr>
          </w:p>
        </w:tc>
      </w:tr>
      <w:tr w:rsidR="005D72AE" w:rsidRPr="00844A25" w14:paraId="5D60CC82" w14:textId="77777777" w:rsidTr="00FA2A1A">
        <w:trPr>
          <w:trHeight w:val="283"/>
        </w:trPr>
        <w:tc>
          <w:tcPr>
            <w:cnfStyle w:val="000010000000" w:firstRow="0" w:lastRow="0" w:firstColumn="0" w:lastColumn="0" w:oddVBand="1" w:evenVBand="0" w:oddHBand="0" w:evenHBand="0" w:firstRowFirstColumn="0" w:firstRowLastColumn="0" w:lastRowFirstColumn="0" w:lastRowLastColumn="0"/>
            <w:tcW w:w="6358" w:type="dxa"/>
          </w:tcPr>
          <w:p w14:paraId="4E9442F0" w14:textId="77777777" w:rsidR="005D72AE" w:rsidRPr="00844A25" w:rsidRDefault="005D72AE" w:rsidP="00FA2A1A">
            <w:pPr>
              <w:pStyle w:val="Tablecopy"/>
            </w:pPr>
            <w:r w:rsidRPr="00844A25">
              <w:t>Long service leave</w:t>
            </w:r>
          </w:p>
        </w:tc>
        <w:tc>
          <w:tcPr>
            <w:cnfStyle w:val="000001000000" w:firstRow="0" w:lastRow="0" w:firstColumn="0" w:lastColumn="0" w:oddVBand="0" w:evenVBand="1" w:oddHBand="0" w:evenHBand="0" w:firstRowFirstColumn="0" w:firstRowLastColumn="0" w:lastRowFirstColumn="0" w:lastRowLastColumn="0"/>
            <w:tcW w:w="1351" w:type="dxa"/>
            <w:shd w:val="clear" w:color="auto" w:fill="F2F2F2" w:themeFill="background1" w:themeFillShade="F2"/>
          </w:tcPr>
          <w:p w14:paraId="28D8E39B" w14:textId="77777777" w:rsidR="005D72AE" w:rsidRPr="00844A25" w:rsidRDefault="005D72AE" w:rsidP="00FA2A1A">
            <w:pPr>
              <w:pStyle w:val="Tablecopy"/>
            </w:pPr>
            <w:r w:rsidRPr="00844A25">
              <w:t>489,553</w:t>
            </w:r>
          </w:p>
        </w:tc>
        <w:tc>
          <w:tcPr>
            <w:cnfStyle w:val="000010000000" w:firstRow="0" w:lastRow="0" w:firstColumn="0" w:lastColumn="0" w:oddVBand="1" w:evenVBand="0" w:oddHBand="0" w:evenHBand="0" w:firstRowFirstColumn="0" w:firstRowLastColumn="0" w:lastRowFirstColumn="0" w:lastRowLastColumn="0"/>
            <w:tcW w:w="1330" w:type="dxa"/>
          </w:tcPr>
          <w:p w14:paraId="23A072CC" w14:textId="77777777" w:rsidR="005D72AE" w:rsidRPr="00844A25" w:rsidRDefault="005D72AE" w:rsidP="00FA2A1A">
            <w:pPr>
              <w:pStyle w:val="Tablecopy"/>
            </w:pPr>
            <w:r w:rsidRPr="00844A25">
              <w:t>330,337</w:t>
            </w:r>
          </w:p>
        </w:tc>
      </w:tr>
      <w:tr w:rsidR="005D72AE" w:rsidRPr="00844A25" w14:paraId="0F2DBE98" w14:textId="77777777" w:rsidTr="00FA2A1A">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6358" w:type="dxa"/>
          </w:tcPr>
          <w:p w14:paraId="65926D3E" w14:textId="77777777" w:rsidR="005D72AE" w:rsidRPr="00AB2827" w:rsidRDefault="005D72AE" w:rsidP="00FA2A1A">
            <w:pPr>
              <w:pStyle w:val="Tablecopy"/>
              <w:rPr>
                <w:b/>
                <w:bCs/>
              </w:rPr>
            </w:pPr>
            <w:r w:rsidRPr="00AB2827">
              <w:rPr>
                <w:b/>
                <w:bCs/>
              </w:rPr>
              <w:t>Total non-current employee related provisions</w:t>
            </w:r>
          </w:p>
        </w:tc>
        <w:tc>
          <w:tcPr>
            <w:cnfStyle w:val="000001000000" w:firstRow="0" w:lastRow="0" w:firstColumn="0" w:lastColumn="0" w:oddVBand="0" w:evenVBand="1" w:oddHBand="0" w:evenHBand="0" w:firstRowFirstColumn="0" w:firstRowLastColumn="0" w:lastRowFirstColumn="0" w:lastRowLastColumn="0"/>
            <w:tcW w:w="1351" w:type="dxa"/>
            <w:shd w:val="clear" w:color="auto" w:fill="F2F2F2" w:themeFill="background1" w:themeFillShade="F2"/>
          </w:tcPr>
          <w:p w14:paraId="3D75D172" w14:textId="77777777" w:rsidR="005D72AE" w:rsidRPr="00AB2827" w:rsidRDefault="005D72AE" w:rsidP="00FA2A1A">
            <w:pPr>
              <w:pStyle w:val="Tablecopy"/>
              <w:rPr>
                <w:b/>
                <w:bCs/>
              </w:rPr>
            </w:pPr>
            <w:r w:rsidRPr="00AB2827">
              <w:rPr>
                <w:b/>
                <w:bCs/>
              </w:rPr>
              <w:t>489,553</w:t>
            </w:r>
          </w:p>
        </w:tc>
        <w:tc>
          <w:tcPr>
            <w:cnfStyle w:val="000010000000" w:firstRow="0" w:lastRow="0" w:firstColumn="0" w:lastColumn="0" w:oddVBand="1" w:evenVBand="0" w:oddHBand="0" w:evenHBand="0" w:firstRowFirstColumn="0" w:firstRowLastColumn="0" w:lastRowFirstColumn="0" w:lastRowLastColumn="0"/>
            <w:tcW w:w="1330" w:type="dxa"/>
          </w:tcPr>
          <w:p w14:paraId="6BF0C7CC" w14:textId="77777777" w:rsidR="005D72AE" w:rsidRPr="00AB2827" w:rsidRDefault="005D72AE" w:rsidP="00FA2A1A">
            <w:pPr>
              <w:pStyle w:val="Tablecopy"/>
              <w:rPr>
                <w:b/>
                <w:bCs/>
              </w:rPr>
            </w:pPr>
            <w:r w:rsidRPr="00AB2827">
              <w:rPr>
                <w:b/>
                <w:bCs/>
              </w:rPr>
              <w:t>330,337</w:t>
            </w:r>
          </w:p>
        </w:tc>
      </w:tr>
      <w:tr w:rsidR="005D72AE" w:rsidRPr="00844A25" w14:paraId="30848FED" w14:textId="77777777" w:rsidTr="00FA2A1A">
        <w:trPr>
          <w:trHeight w:val="355"/>
        </w:trPr>
        <w:tc>
          <w:tcPr>
            <w:cnfStyle w:val="000010000000" w:firstRow="0" w:lastRow="0" w:firstColumn="0" w:lastColumn="0" w:oddVBand="1" w:evenVBand="0" w:oddHBand="0" w:evenHBand="0" w:firstRowFirstColumn="0" w:firstRowLastColumn="0" w:lastRowFirstColumn="0" w:lastRowLastColumn="0"/>
            <w:tcW w:w="6358" w:type="dxa"/>
          </w:tcPr>
          <w:p w14:paraId="68F58CD5" w14:textId="77777777" w:rsidR="005D72AE" w:rsidRPr="00844A25" w:rsidRDefault="005D72AE" w:rsidP="00FA2A1A">
            <w:pPr>
              <w:pStyle w:val="Tablecopy"/>
            </w:pPr>
          </w:p>
        </w:tc>
        <w:tc>
          <w:tcPr>
            <w:cnfStyle w:val="000001000000" w:firstRow="0" w:lastRow="0" w:firstColumn="0" w:lastColumn="0" w:oddVBand="0" w:evenVBand="1" w:oddHBand="0" w:evenHBand="0" w:firstRowFirstColumn="0" w:firstRowLastColumn="0" w:lastRowFirstColumn="0" w:lastRowLastColumn="0"/>
            <w:tcW w:w="1351" w:type="dxa"/>
            <w:shd w:val="clear" w:color="auto" w:fill="F2F2F2" w:themeFill="background1" w:themeFillShade="F2"/>
          </w:tcPr>
          <w:p w14:paraId="2F28A963" w14:textId="77777777" w:rsidR="005D72AE" w:rsidRPr="00844A25" w:rsidRDefault="005D72AE" w:rsidP="00FA2A1A">
            <w:pPr>
              <w:pStyle w:val="Tablecopy"/>
            </w:pPr>
          </w:p>
        </w:tc>
        <w:tc>
          <w:tcPr>
            <w:cnfStyle w:val="000010000000" w:firstRow="0" w:lastRow="0" w:firstColumn="0" w:lastColumn="0" w:oddVBand="1" w:evenVBand="0" w:oddHBand="0" w:evenHBand="0" w:firstRowFirstColumn="0" w:firstRowLastColumn="0" w:lastRowFirstColumn="0" w:lastRowLastColumn="0"/>
            <w:tcW w:w="1330" w:type="dxa"/>
          </w:tcPr>
          <w:p w14:paraId="45F704EB" w14:textId="77777777" w:rsidR="005D72AE" w:rsidRPr="00844A25" w:rsidRDefault="005D72AE" w:rsidP="00FA2A1A">
            <w:pPr>
              <w:pStyle w:val="Tablecopy"/>
            </w:pPr>
          </w:p>
        </w:tc>
      </w:tr>
      <w:tr w:rsidR="005D72AE" w:rsidRPr="00844A25" w14:paraId="13B6178E" w14:textId="77777777" w:rsidTr="00FA2A1A">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358" w:type="dxa"/>
          </w:tcPr>
          <w:p w14:paraId="689247CB" w14:textId="77777777" w:rsidR="005D72AE" w:rsidRPr="007148B9" w:rsidRDefault="005D72AE" w:rsidP="00FA2A1A">
            <w:pPr>
              <w:pStyle w:val="Tablecopy"/>
              <w:rPr>
                <w:b/>
                <w:bCs/>
              </w:rPr>
            </w:pPr>
            <w:r w:rsidRPr="007148B9">
              <w:rPr>
                <w:b/>
                <w:bCs/>
              </w:rPr>
              <w:t>Total provisions for employee benefits</w:t>
            </w:r>
          </w:p>
        </w:tc>
        <w:tc>
          <w:tcPr>
            <w:cnfStyle w:val="000001000000" w:firstRow="0" w:lastRow="0" w:firstColumn="0" w:lastColumn="0" w:oddVBand="0" w:evenVBand="1" w:oddHBand="0" w:evenHBand="0" w:firstRowFirstColumn="0" w:firstRowLastColumn="0" w:lastRowFirstColumn="0" w:lastRowLastColumn="0"/>
            <w:tcW w:w="1351" w:type="dxa"/>
            <w:shd w:val="clear" w:color="auto" w:fill="F2F2F2" w:themeFill="background1" w:themeFillShade="F2"/>
          </w:tcPr>
          <w:p w14:paraId="4ED928A3" w14:textId="77777777" w:rsidR="005D72AE" w:rsidRPr="007148B9" w:rsidRDefault="005D72AE" w:rsidP="00FA2A1A">
            <w:pPr>
              <w:pStyle w:val="Tablecopy"/>
              <w:rPr>
                <w:b/>
                <w:bCs/>
              </w:rPr>
            </w:pPr>
            <w:r w:rsidRPr="007148B9">
              <w:rPr>
                <w:b/>
                <w:bCs/>
              </w:rPr>
              <w:t>4,489,971</w:t>
            </w:r>
          </w:p>
        </w:tc>
        <w:tc>
          <w:tcPr>
            <w:cnfStyle w:val="000010000000" w:firstRow="0" w:lastRow="0" w:firstColumn="0" w:lastColumn="0" w:oddVBand="1" w:evenVBand="0" w:oddHBand="0" w:evenHBand="0" w:firstRowFirstColumn="0" w:firstRowLastColumn="0" w:lastRowFirstColumn="0" w:lastRowLastColumn="0"/>
            <w:tcW w:w="1330" w:type="dxa"/>
          </w:tcPr>
          <w:p w14:paraId="7BF8D2A6" w14:textId="77777777" w:rsidR="005D72AE" w:rsidRPr="007148B9" w:rsidRDefault="005D72AE" w:rsidP="00FA2A1A">
            <w:pPr>
              <w:pStyle w:val="Tablecopy"/>
              <w:rPr>
                <w:b/>
                <w:bCs/>
              </w:rPr>
            </w:pPr>
            <w:r w:rsidRPr="007148B9">
              <w:rPr>
                <w:b/>
                <w:bCs/>
              </w:rPr>
              <w:t xml:space="preserve"> 3,367,217</w:t>
            </w:r>
          </w:p>
        </w:tc>
      </w:tr>
    </w:tbl>
    <w:p w14:paraId="4BB24FC4" w14:textId="77777777" w:rsidR="005D72AE" w:rsidRPr="00844A25" w:rsidRDefault="005D72AE" w:rsidP="005D72AE">
      <w:pPr>
        <w:rPr>
          <w:lang w:val="en-US"/>
        </w:rPr>
      </w:pPr>
      <w:r w:rsidRPr="00844A25">
        <w:rPr>
          <w:lang w:val="en-US"/>
        </w:rPr>
        <w:t>Provisions made in respect of employee benefits expected to be wholly settled within 12 months are measured at their nominal values, using the remuneration rate expected to apply at the time of settlement. Provisions made in respect of employee benefits which are not expected to be wholly settled within</w:t>
      </w:r>
      <w:r>
        <w:rPr>
          <w:lang w:val="en-US"/>
        </w:rPr>
        <w:t xml:space="preserve"> </w:t>
      </w:r>
      <w:r w:rsidRPr="00844A25">
        <w:rPr>
          <w:lang w:val="en-US"/>
        </w:rPr>
        <w:t>12 months are measured as the present value of the estimated future cash outflows to be made by the commission in respect of services provided by employees up to reporting date. The liability is classified</w:t>
      </w:r>
      <w:r>
        <w:rPr>
          <w:lang w:val="en-US"/>
        </w:rPr>
        <w:t xml:space="preserve"> </w:t>
      </w:r>
      <w:r w:rsidRPr="00844A25">
        <w:rPr>
          <w:lang w:val="en-US"/>
        </w:rPr>
        <w:t>as a current liability where the commission does not have an unconditional right to defer settlement for</w:t>
      </w:r>
      <w:r>
        <w:rPr>
          <w:lang w:val="en-US"/>
        </w:rPr>
        <w:t xml:space="preserve"> </w:t>
      </w:r>
      <w:r w:rsidRPr="00844A25">
        <w:rPr>
          <w:lang w:val="en-US"/>
        </w:rPr>
        <w:t>at least 12 months after the reporting date. The long service leave liability is classified as non-current</w:t>
      </w:r>
      <w:r>
        <w:rPr>
          <w:lang w:val="en-US"/>
        </w:rPr>
        <w:t xml:space="preserve"> </w:t>
      </w:r>
      <w:r w:rsidRPr="00844A25">
        <w:rPr>
          <w:lang w:val="en-US"/>
        </w:rPr>
        <w:t>where the commission has an unconditional right to defer the settlement of the entitlement until the</w:t>
      </w:r>
      <w:r>
        <w:rPr>
          <w:lang w:val="en-US"/>
        </w:rPr>
        <w:t xml:space="preserve"> </w:t>
      </w:r>
      <w:r w:rsidRPr="00844A25">
        <w:rPr>
          <w:lang w:val="en-US"/>
        </w:rPr>
        <w:t>employee has completed the requisite years of service.</w:t>
      </w:r>
    </w:p>
    <w:p w14:paraId="12AB005A" w14:textId="77777777" w:rsidR="005D72AE" w:rsidRPr="00844A25" w:rsidRDefault="005D72AE" w:rsidP="005D72AE">
      <w:pPr>
        <w:rPr>
          <w:lang w:val="en-US"/>
        </w:rPr>
      </w:pPr>
      <w:r w:rsidRPr="00844A25">
        <w:rPr>
          <w:lang w:val="en-US"/>
        </w:rPr>
        <w:lastRenderedPageBreak/>
        <w:t>Termination entitlements are payable when employment is terminated before normal retirement date,</w:t>
      </w:r>
      <w:r>
        <w:rPr>
          <w:lang w:val="en-US"/>
        </w:rPr>
        <w:t xml:space="preserve"> </w:t>
      </w:r>
      <w:r w:rsidRPr="00844A25">
        <w:rPr>
          <w:lang w:val="en-US"/>
        </w:rPr>
        <w:t>or when an employee accepts an offer of benefits in exchange for the termination of employment.</w:t>
      </w:r>
      <w:r>
        <w:rPr>
          <w:lang w:val="en-US"/>
        </w:rPr>
        <w:t xml:space="preserve"> </w:t>
      </w:r>
      <w:r w:rsidRPr="00844A25">
        <w:rPr>
          <w:lang w:val="en-US"/>
        </w:rPr>
        <w:t>Termination entitlements are recognised when the commission is demonstrably committed to terminating</w:t>
      </w:r>
      <w:r>
        <w:rPr>
          <w:lang w:val="en-US"/>
        </w:rPr>
        <w:t xml:space="preserve"> </w:t>
      </w:r>
      <w:r w:rsidRPr="00844A25">
        <w:rPr>
          <w:lang w:val="en-US"/>
        </w:rPr>
        <w:t>the employment of current employees according to a detailed formal plan without possibility of withdrawal</w:t>
      </w:r>
      <w:r>
        <w:rPr>
          <w:lang w:val="en-US"/>
        </w:rPr>
        <w:t xml:space="preserve"> </w:t>
      </w:r>
      <w:r w:rsidRPr="00844A25">
        <w:rPr>
          <w:lang w:val="en-US"/>
        </w:rPr>
        <w:t>or providing termination entitlements as a result of an offer made to encourage voluntary redundancy.</w:t>
      </w:r>
    </w:p>
    <w:p w14:paraId="4539309F" w14:textId="77777777" w:rsidR="005D72AE" w:rsidRPr="00844A25" w:rsidRDefault="005D72AE" w:rsidP="005D72AE">
      <w:pPr>
        <w:pStyle w:val="Heading3"/>
      </w:pPr>
      <w:r w:rsidRPr="00844A25">
        <w:t>3.2. Supplies and services</w:t>
      </w:r>
    </w:p>
    <w:tbl>
      <w:tblPr>
        <w:tblStyle w:val="PlainTable2"/>
        <w:tblW w:w="9234" w:type="dxa"/>
        <w:tblLayout w:type="fixed"/>
        <w:tblLook w:val="0000" w:firstRow="0" w:lastRow="0" w:firstColumn="0" w:lastColumn="0" w:noHBand="0" w:noVBand="0"/>
      </w:tblPr>
      <w:tblGrid>
        <w:gridCol w:w="6472"/>
        <w:gridCol w:w="1381"/>
        <w:gridCol w:w="1381"/>
      </w:tblGrid>
      <w:tr w:rsidR="005D72AE" w:rsidRPr="00B12B3B" w14:paraId="09AB62D6" w14:textId="77777777" w:rsidTr="00FA2A1A">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6472" w:type="dxa"/>
          </w:tcPr>
          <w:p w14:paraId="3E0B18E1" w14:textId="77777777" w:rsidR="005D72AE" w:rsidRPr="007148B9" w:rsidRDefault="005D72AE" w:rsidP="00FA2A1A">
            <w:pPr>
              <w:pStyle w:val="Tablecopy"/>
              <w:rPr>
                <w:b/>
                <w:bCs/>
              </w:rPr>
            </w:pPr>
          </w:p>
        </w:tc>
        <w:tc>
          <w:tcPr>
            <w:cnfStyle w:val="000001000000" w:firstRow="0" w:lastRow="0" w:firstColumn="0" w:lastColumn="0" w:oddVBand="0" w:evenVBand="1" w:oddHBand="0" w:evenHBand="0" w:firstRowFirstColumn="0" w:firstRowLastColumn="0" w:lastRowFirstColumn="0" w:lastRowLastColumn="0"/>
            <w:tcW w:w="1381" w:type="dxa"/>
            <w:shd w:val="clear" w:color="auto" w:fill="F2F2F2" w:themeFill="background1" w:themeFillShade="F2"/>
          </w:tcPr>
          <w:p w14:paraId="4AC656C4" w14:textId="77777777" w:rsidR="005D72AE" w:rsidRPr="007148B9" w:rsidRDefault="005D72AE" w:rsidP="00FA2A1A">
            <w:pPr>
              <w:pStyle w:val="Tablecopy"/>
              <w:rPr>
                <w:b/>
                <w:bCs/>
              </w:rPr>
            </w:pPr>
            <w:r w:rsidRPr="007148B9">
              <w:rPr>
                <w:b/>
                <w:bCs/>
              </w:rPr>
              <w:t>2020</w:t>
            </w:r>
          </w:p>
        </w:tc>
        <w:tc>
          <w:tcPr>
            <w:cnfStyle w:val="000010000000" w:firstRow="0" w:lastRow="0" w:firstColumn="0" w:lastColumn="0" w:oddVBand="1" w:evenVBand="0" w:oddHBand="0" w:evenHBand="0" w:firstRowFirstColumn="0" w:firstRowLastColumn="0" w:lastRowFirstColumn="0" w:lastRowLastColumn="0"/>
            <w:tcW w:w="1381" w:type="dxa"/>
          </w:tcPr>
          <w:p w14:paraId="35FB6DAD" w14:textId="77777777" w:rsidR="005D72AE" w:rsidRPr="007148B9" w:rsidRDefault="005D72AE" w:rsidP="00FA2A1A">
            <w:pPr>
              <w:pStyle w:val="Tablecopy"/>
              <w:rPr>
                <w:b/>
                <w:bCs/>
              </w:rPr>
            </w:pPr>
            <w:r w:rsidRPr="007148B9">
              <w:rPr>
                <w:b/>
                <w:bCs/>
              </w:rPr>
              <w:t>2019</w:t>
            </w:r>
          </w:p>
        </w:tc>
      </w:tr>
      <w:tr w:rsidR="005D72AE" w:rsidRPr="00B12B3B" w14:paraId="5D2092E2" w14:textId="77777777" w:rsidTr="00FA2A1A">
        <w:trPr>
          <w:trHeight w:val="283"/>
        </w:trPr>
        <w:tc>
          <w:tcPr>
            <w:cnfStyle w:val="000010000000" w:firstRow="0" w:lastRow="0" w:firstColumn="0" w:lastColumn="0" w:oddVBand="1" w:evenVBand="0" w:oddHBand="0" w:evenHBand="0" w:firstRowFirstColumn="0" w:firstRowLastColumn="0" w:lastRowFirstColumn="0" w:lastRowLastColumn="0"/>
            <w:tcW w:w="6472" w:type="dxa"/>
          </w:tcPr>
          <w:p w14:paraId="0EFB6F2E" w14:textId="77777777" w:rsidR="005D72AE" w:rsidRPr="007148B9" w:rsidRDefault="005D72AE" w:rsidP="00FA2A1A">
            <w:pPr>
              <w:pStyle w:val="Tablecopy"/>
              <w:rPr>
                <w:b/>
                <w:bCs/>
              </w:rPr>
            </w:pPr>
          </w:p>
        </w:tc>
        <w:tc>
          <w:tcPr>
            <w:cnfStyle w:val="000001000000" w:firstRow="0" w:lastRow="0" w:firstColumn="0" w:lastColumn="0" w:oddVBand="0" w:evenVBand="1" w:oddHBand="0" w:evenHBand="0" w:firstRowFirstColumn="0" w:firstRowLastColumn="0" w:lastRowFirstColumn="0" w:lastRowLastColumn="0"/>
            <w:tcW w:w="1381" w:type="dxa"/>
            <w:shd w:val="clear" w:color="auto" w:fill="F2F2F2" w:themeFill="background1" w:themeFillShade="F2"/>
          </w:tcPr>
          <w:p w14:paraId="5EE4FD78" w14:textId="77777777" w:rsidR="005D72AE" w:rsidRPr="007148B9" w:rsidRDefault="005D72AE" w:rsidP="00FA2A1A">
            <w:pPr>
              <w:pStyle w:val="Tablecopy"/>
              <w:rPr>
                <w:b/>
                <w:bCs/>
              </w:rPr>
            </w:pPr>
            <w:r w:rsidRPr="007148B9">
              <w:rPr>
                <w:b/>
                <w:bCs/>
              </w:rPr>
              <w:t>$</w:t>
            </w:r>
          </w:p>
        </w:tc>
        <w:tc>
          <w:tcPr>
            <w:cnfStyle w:val="000010000000" w:firstRow="0" w:lastRow="0" w:firstColumn="0" w:lastColumn="0" w:oddVBand="1" w:evenVBand="0" w:oddHBand="0" w:evenHBand="0" w:firstRowFirstColumn="0" w:firstRowLastColumn="0" w:lastRowFirstColumn="0" w:lastRowLastColumn="0"/>
            <w:tcW w:w="1381" w:type="dxa"/>
          </w:tcPr>
          <w:p w14:paraId="11DCC28F" w14:textId="77777777" w:rsidR="005D72AE" w:rsidRPr="007148B9" w:rsidRDefault="005D72AE" w:rsidP="00FA2A1A">
            <w:pPr>
              <w:pStyle w:val="Tablecopy"/>
              <w:rPr>
                <w:b/>
                <w:bCs/>
              </w:rPr>
            </w:pPr>
            <w:r w:rsidRPr="007148B9">
              <w:rPr>
                <w:b/>
                <w:bCs/>
              </w:rPr>
              <w:t>$</w:t>
            </w:r>
          </w:p>
        </w:tc>
      </w:tr>
      <w:tr w:rsidR="005D72AE" w:rsidRPr="00B12B3B" w14:paraId="2EFC25A0" w14:textId="77777777" w:rsidTr="00FA2A1A">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6472" w:type="dxa"/>
          </w:tcPr>
          <w:p w14:paraId="45AFC503" w14:textId="77777777" w:rsidR="005D72AE" w:rsidRPr="007148B9" w:rsidRDefault="005D72AE" w:rsidP="00FA2A1A">
            <w:pPr>
              <w:pStyle w:val="Tablecopy"/>
              <w:rPr>
                <w:b/>
                <w:bCs/>
              </w:rPr>
            </w:pPr>
            <w:r w:rsidRPr="007148B9">
              <w:rPr>
                <w:b/>
                <w:bCs/>
              </w:rPr>
              <w:t>Supplies and services</w:t>
            </w:r>
          </w:p>
        </w:tc>
        <w:tc>
          <w:tcPr>
            <w:cnfStyle w:val="000001000000" w:firstRow="0" w:lastRow="0" w:firstColumn="0" w:lastColumn="0" w:oddVBand="0" w:evenVBand="1" w:oddHBand="0" w:evenHBand="0" w:firstRowFirstColumn="0" w:firstRowLastColumn="0" w:lastRowFirstColumn="0" w:lastRowLastColumn="0"/>
            <w:tcW w:w="1381" w:type="dxa"/>
            <w:shd w:val="clear" w:color="auto" w:fill="F2F2F2" w:themeFill="background1" w:themeFillShade="F2"/>
          </w:tcPr>
          <w:p w14:paraId="0325E6ED" w14:textId="77777777" w:rsidR="005D72AE" w:rsidRPr="007148B9" w:rsidRDefault="005D72AE" w:rsidP="00FA2A1A">
            <w:pPr>
              <w:pStyle w:val="Tablecopy"/>
              <w:rPr>
                <w:b/>
                <w:bCs/>
              </w:rPr>
            </w:pPr>
          </w:p>
        </w:tc>
        <w:tc>
          <w:tcPr>
            <w:cnfStyle w:val="000010000000" w:firstRow="0" w:lastRow="0" w:firstColumn="0" w:lastColumn="0" w:oddVBand="1" w:evenVBand="0" w:oddHBand="0" w:evenHBand="0" w:firstRowFirstColumn="0" w:firstRowLastColumn="0" w:lastRowFirstColumn="0" w:lastRowLastColumn="0"/>
            <w:tcW w:w="1381" w:type="dxa"/>
          </w:tcPr>
          <w:p w14:paraId="6018B59D" w14:textId="77777777" w:rsidR="005D72AE" w:rsidRPr="007148B9" w:rsidRDefault="005D72AE" w:rsidP="00FA2A1A">
            <w:pPr>
              <w:pStyle w:val="Tablecopy"/>
              <w:rPr>
                <w:b/>
                <w:bCs/>
              </w:rPr>
            </w:pPr>
          </w:p>
        </w:tc>
      </w:tr>
      <w:tr w:rsidR="005D72AE" w:rsidRPr="00B12B3B" w14:paraId="59BB5545" w14:textId="77777777" w:rsidTr="00FA2A1A">
        <w:trPr>
          <w:trHeight w:val="283"/>
        </w:trPr>
        <w:tc>
          <w:tcPr>
            <w:cnfStyle w:val="000010000000" w:firstRow="0" w:lastRow="0" w:firstColumn="0" w:lastColumn="0" w:oddVBand="1" w:evenVBand="0" w:oddHBand="0" w:evenHBand="0" w:firstRowFirstColumn="0" w:firstRowLastColumn="0" w:lastRowFirstColumn="0" w:lastRowLastColumn="0"/>
            <w:tcW w:w="6472" w:type="dxa"/>
          </w:tcPr>
          <w:p w14:paraId="1A3C3096" w14:textId="77777777" w:rsidR="005D72AE" w:rsidRPr="00B12B3B" w:rsidRDefault="005D72AE" w:rsidP="00FA2A1A">
            <w:pPr>
              <w:pStyle w:val="Tablecopy"/>
            </w:pPr>
            <w:r w:rsidRPr="00B12B3B">
              <w:t>Rentals and outgoings</w:t>
            </w:r>
          </w:p>
        </w:tc>
        <w:tc>
          <w:tcPr>
            <w:cnfStyle w:val="000001000000" w:firstRow="0" w:lastRow="0" w:firstColumn="0" w:lastColumn="0" w:oddVBand="0" w:evenVBand="1" w:oddHBand="0" w:evenHBand="0" w:firstRowFirstColumn="0" w:firstRowLastColumn="0" w:lastRowFirstColumn="0" w:lastRowLastColumn="0"/>
            <w:tcW w:w="1381" w:type="dxa"/>
            <w:shd w:val="clear" w:color="auto" w:fill="F2F2F2" w:themeFill="background1" w:themeFillShade="F2"/>
          </w:tcPr>
          <w:p w14:paraId="1220AC95" w14:textId="77777777" w:rsidR="005D72AE" w:rsidRPr="00B12B3B" w:rsidRDefault="005D72AE" w:rsidP="00FA2A1A">
            <w:pPr>
              <w:pStyle w:val="Tablecopy"/>
            </w:pPr>
            <w:r w:rsidRPr="00B12B3B">
              <w:t>809,908</w:t>
            </w:r>
          </w:p>
        </w:tc>
        <w:tc>
          <w:tcPr>
            <w:cnfStyle w:val="000010000000" w:firstRow="0" w:lastRow="0" w:firstColumn="0" w:lastColumn="0" w:oddVBand="1" w:evenVBand="0" w:oddHBand="0" w:evenHBand="0" w:firstRowFirstColumn="0" w:firstRowLastColumn="0" w:lastRowFirstColumn="0" w:lastRowLastColumn="0"/>
            <w:tcW w:w="1381" w:type="dxa"/>
          </w:tcPr>
          <w:p w14:paraId="0A898B8D" w14:textId="77777777" w:rsidR="005D72AE" w:rsidRPr="00B12B3B" w:rsidRDefault="005D72AE" w:rsidP="00FA2A1A">
            <w:pPr>
              <w:pStyle w:val="Tablecopy"/>
            </w:pPr>
            <w:r w:rsidRPr="00B12B3B">
              <w:t>1,062,367</w:t>
            </w:r>
          </w:p>
        </w:tc>
      </w:tr>
      <w:tr w:rsidR="005D72AE" w:rsidRPr="00B12B3B" w14:paraId="64026A96" w14:textId="77777777" w:rsidTr="00FA2A1A">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6472" w:type="dxa"/>
          </w:tcPr>
          <w:p w14:paraId="02C328FD" w14:textId="77777777" w:rsidR="005D72AE" w:rsidRPr="00B12B3B" w:rsidRDefault="005D72AE" w:rsidP="00FA2A1A">
            <w:pPr>
              <w:pStyle w:val="Tablecopy"/>
            </w:pPr>
            <w:r w:rsidRPr="00B12B3B">
              <w:t>Purchases of services</w:t>
            </w:r>
          </w:p>
        </w:tc>
        <w:tc>
          <w:tcPr>
            <w:cnfStyle w:val="000001000000" w:firstRow="0" w:lastRow="0" w:firstColumn="0" w:lastColumn="0" w:oddVBand="0" w:evenVBand="1" w:oddHBand="0" w:evenHBand="0" w:firstRowFirstColumn="0" w:firstRowLastColumn="0" w:lastRowFirstColumn="0" w:lastRowLastColumn="0"/>
            <w:tcW w:w="1381" w:type="dxa"/>
            <w:shd w:val="clear" w:color="auto" w:fill="F2F2F2" w:themeFill="background1" w:themeFillShade="F2"/>
          </w:tcPr>
          <w:p w14:paraId="14081B20" w14:textId="77777777" w:rsidR="005D72AE" w:rsidRPr="00B12B3B" w:rsidRDefault="005D72AE" w:rsidP="00FA2A1A">
            <w:pPr>
              <w:pStyle w:val="Tablecopy"/>
            </w:pPr>
            <w:r w:rsidRPr="00B12B3B">
              <w:t>6,462,881</w:t>
            </w:r>
          </w:p>
        </w:tc>
        <w:tc>
          <w:tcPr>
            <w:cnfStyle w:val="000010000000" w:firstRow="0" w:lastRow="0" w:firstColumn="0" w:lastColumn="0" w:oddVBand="1" w:evenVBand="0" w:oddHBand="0" w:evenHBand="0" w:firstRowFirstColumn="0" w:firstRowLastColumn="0" w:lastRowFirstColumn="0" w:lastRowLastColumn="0"/>
            <w:tcW w:w="1381" w:type="dxa"/>
          </w:tcPr>
          <w:p w14:paraId="16054A5C" w14:textId="77777777" w:rsidR="005D72AE" w:rsidRPr="00B12B3B" w:rsidRDefault="005D72AE" w:rsidP="00FA2A1A">
            <w:pPr>
              <w:pStyle w:val="Tablecopy"/>
            </w:pPr>
            <w:r w:rsidRPr="00B12B3B">
              <w:t>5,303,006</w:t>
            </w:r>
          </w:p>
        </w:tc>
      </w:tr>
      <w:tr w:rsidR="005D72AE" w:rsidRPr="00B12B3B" w14:paraId="24359009" w14:textId="77777777" w:rsidTr="00FA2A1A">
        <w:trPr>
          <w:trHeight w:val="283"/>
        </w:trPr>
        <w:tc>
          <w:tcPr>
            <w:cnfStyle w:val="000010000000" w:firstRow="0" w:lastRow="0" w:firstColumn="0" w:lastColumn="0" w:oddVBand="1" w:evenVBand="0" w:oddHBand="0" w:evenHBand="0" w:firstRowFirstColumn="0" w:firstRowLastColumn="0" w:lastRowFirstColumn="0" w:lastRowLastColumn="0"/>
            <w:tcW w:w="6472" w:type="dxa"/>
          </w:tcPr>
          <w:p w14:paraId="4BBFDB0D" w14:textId="77777777" w:rsidR="005D72AE" w:rsidRPr="00B12B3B" w:rsidRDefault="005D72AE" w:rsidP="00FA2A1A">
            <w:pPr>
              <w:pStyle w:val="Tablecopy"/>
            </w:pPr>
            <w:r w:rsidRPr="00B12B3B">
              <w:t>Other</w:t>
            </w:r>
          </w:p>
        </w:tc>
        <w:tc>
          <w:tcPr>
            <w:cnfStyle w:val="000001000000" w:firstRow="0" w:lastRow="0" w:firstColumn="0" w:lastColumn="0" w:oddVBand="0" w:evenVBand="1" w:oddHBand="0" w:evenHBand="0" w:firstRowFirstColumn="0" w:firstRowLastColumn="0" w:lastRowFirstColumn="0" w:lastRowLastColumn="0"/>
            <w:tcW w:w="1381" w:type="dxa"/>
            <w:shd w:val="clear" w:color="auto" w:fill="F2F2F2" w:themeFill="background1" w:themeFillShade="F2"/>
          </w:tcPr>
          <w:p w14:paraId="1A436468" w14:textId="77777777" w:rsidR="005D72AE" w:rsidRPr="00B12B3B" w:rsidRDefault="005D72AE" w:rsidP="00FA2A1A">
            <w:pPr>
              <w:pStyle w:val="Tablecopy"/>
            </w:pPr>
            <w:r w:rsidRPr="00B12B3B">
              <w:t>2,698,483</w:t>
            </w:r>
          </w:p>
        </w:tc>
        <w:tc>
          <w:tcPr>
            <w:cnfStyle w:val="000010000000" w:firstRow="0" w:lastRow="0" w:firstColumn="0" w:lastColumn="0" w:oddVBand="1" w:evenVBand="0" w:oddHBand="0" w:evenHBand="0" w:firstRowFirstColumn="0" w:firstRowLastColumn="0" w:lastRowFirstColumn="0" w:lastRowLastColumn="0"/>
            <w:tcW w:w="1381" w:type="dxa"/>
          </w:tcPr>
          <w:p w14:paraId="266FA5BA" w14:textId="77777777" w:rsidR="005D72AE" w:rsidRPr="00B12B3B" w:rsidRDefault="005D72AE" w:rsidP="00FA2A1A">
            <w:pPr>
              <w:pStyle w:val="Tablecopy"/>
            </w:pPr>
            <w:r w:rsidRPr="00B12B3B">
              <w:t>2,346,457</w:t>
            </w:r>
          </w:p>
        </w:tc>
      </w:tr>
      <w:tr w:rsidR="005D72AE" w:rsidRPr="00B12B3B" w14:paraId="042C8B8A" w14:textId="77777777" w:rsidTr="00FA2A1A">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6472" w:type="dxa"/>
          </w:tcPr>
          <w:p w14:paraId="35E37D57" w14:textId="77777777" w:rsidR="005D72AE" w:rsidRPr="007148B9" w:rsidRDefault="005D72AE" w:rsidP="00FA2A1A">
            <w:pPr>
              <w:pStyle w:val="Tablecopy"/>
              <w:rPr>
                <w:b/>
                <w:bCs/>
              </w:rPr>
            </w:pPr>
            <w:r w:rsidRPr="007148B9">
              <w:rPr>
                <w:b/>
                <w:bCs/>
              </w:rPr>
              <w:t>Total supplies and services</w:t>
            </w:r>
          </w:p>
        </w:tc>
        <w:tc>
          <w:tcPr>
            <w:cnfStyle w:val="000001000000" w:firstRow="0" w:lastRow="0" w:firstColumn="0" w:lastColumn="0" w:oddVBand="0" w:evenVBand="1" w:oddHBand="0" w:evenHBand="0" w:firstRowFirstColumn="0" w:firstRowLastColumn="0" w:lastRowFirstColumn="0" w:lastRowLastColumn="0"/>
            <w:tcW w:w="1381" w:type="dxa"/>
            <w:shd w:val="clear" w:color="auto" w:fill="F2F2F2" w:themeFill="background1" w:themeFillShade="F2"/>
          </w:tcPr>
          <w:p w14:paraId="734C44CD" w14:textId="77777777" w:rsidR="005D72AE" w:rsidRPr="007148B9" w:rsidRDefault="005D72AE" w:rsidP="00FA2A1A">
            <w:pPr>
              <w:pStyle w:val="Tablecopy"/>
              <w:rPr>
                <w:b/>
                <w:bCs/>
              </w:rPr>
            </w:pPr>
            <w:r w:rsidRPr="007148B9">
              <w:rPr>
                <w:b/>
                <w:bCs/>
              </w:rPr>
              <w:t>9,971,272</w:t>
            </w:r>
          </w:p>
        </w:tc>
        <w:tc>
          <w:tcPr>
            <w:cnfStyle w:val="000010000000" w:firstRow="0" w:lastRow="0" w:firstColumn="0" w:lastColumn="0" w:oddVBand="1" w:evenVBand="0" w:oddHBand="0" w:evenHBand="0" w:firstRowFirstColumn="0" w:firstRowLastColumn="0" w:lastRowFirstColumn="0" w:lastRowLastColumn="0"/>
            <w:tcW w:w="1381" w:type="dxa"/>
          </w:tcPr>
          <w:p w14:paraId="4FF85047" w14:textId="77777777" w:rsidR="005D72AE" w:rsidRPr="007148B9" w:rsidRDefault="005D72AE" w:rsidP="00FA2A1A">
            <w:pPr>
              <w:pStyle w:val="Tablecopy"/>
              <w:rPr>
                <w:b/>
                <w:bCs/>
              </w:rPr>
            </w:pPr>
            <w:r w:rsidRPr="007148B9">
              <w:rPr>
                <w:b/>
                <w:bCs/>
              </w:rPr>
              <w:t>8,711,830</w:t>
            </w:r>
          </w:p>
        </w:tc>
      </w:tr>
    </w:tbl>
    <w:p w14:paraId="3BF1D525" w14:textId="77777777" w:rsidR="005D72AE" w:rsidRPr="00844A25" w:rsidRDefault="005D72AE" w:rsidP="005D72AE">
      <w:pPr>
        <w:rPr>
          <w:lang w:val="en-US"/>
        </w:rPr>
      </w:pPr>
      <w:r w:rsidRPr="00844A25">
        <w:rPr>
          <w:lang w:val="en-US"/>
        </w:rPr>
        <w:t>Supplies and services are recognised as an expense in the reporting period in which they are incurred.</w:t>
      </w:r>
    </w:p>
    <w:p w14:paraId="478AC621" w14:textId="77777777" w:rsidR="005D72AE" w:rsidRPr="00844A25" w:rsidRDefault="005D72AE" w:rsidP="005D72AE">
      <w:pPr>
        <w:rPr>
          <w:lang w:val="en-US"/>
        </w:rPr>
      </w:pPr>
      <w:r w:rsidRPr="00844A25">
        <w:rPr>
          <w:lang w:val="en-US"/>
        </w:rPr>
        <w:t>Rental payments up until 30 June 2019 are recognised as an expense in the comprehensive operating statement on a straight-line basis over the lease term, except where another systematic basis is more representative of the time pattern of the benefits derived from the use of the leased asset. The leased asset</w:t>
      </w:r>
      <w:r>
        <w:rPr>
          <w:lang w:val="en-US"/>
        </w:rPr>
        <w:t xml:space="preserve"> </w:t>
      </w:r>
      <w:r w:rsidRPr="00844A25">
        <w:rPr>
          <w:lang w:val="en-US"/>
        </w:rPr>
        <w:t>is not recognised in the balance sheet.</w:t>
      </w:r>
    </w:p>
    <w:p w14:paraId="31DFCA17" w14:textId="77777777" w:rsidR="005D72AE" w:rsidRPr="00844A25" w:rsidRDefault="005D72AE" w:rsidP="005D72AE">
      <w:pPr>
        <w:rPr>
          <w:lang w:val="en-US"/>
        </w:rPr>
      </w:pPr>
      <w:r w:rsidRPr="00844A25">
        <w:rPr>
          <w:lang w:val="en-US"/>
        </w:rPr>
        <w:t>From 1 July 2019, the following lease payments are recognised on a straight-line basis:</w:t>
      </w:r>
    </w:p>
    <w:p w14:paraId="71588F9F" w14:textId="77777777" w:rsidR="005D72AE" w:rsidRPr="00844A25" w:rsidRDefault="005D72AE" w:rsidP="005D72AE">
      <w:pPr>
        <w:pStyle w:val="ListBullet"/>
        <w:numPr>
          <w:ilvl w:val="0"/>
          <w:numId w:val="1"/>
        </w:numPr>
        <w:spacing w:before="0" w:after="180"/>
        <w:rPr>
          <w:lang w:val="en-US"/>
        </w:rPr>
      </w:pPr>
      <w:r w:rsidRPr="00844A25">
        <w:rPr>
          <w:lang w:val="en-US"/>
        </w:rPr>
        <w:t>Low-value leases – leases with the underlying asset’s fair value (when new, regardless of the age of the asset being leased) is no more than $10,000.</w:t>
      </w:r>
    </w:p>
    <w:p w14:paraId="6D8ABA99" w14:textId="77777777" w:rsidR="005D72AE" w:rsidRPr="00844A25" w:rsidRDefault="005D72AE" w:rsidP="005D72AE">
      <w:pPr>
        <w:rPr>
          <w:lang w:val="en-US"/>
        </w:rPr>
      </w:pPr>
      <w:r w:rsidRPr="00844A25">
        <w:rPr>
          <w:lang w:val="en-US"/>
        </w:rPr>
        <w:t>Variable lease payments not included in the measurement of the lease liability (i.e. variable lease payments that do not depend on an index or a rate, initially measured using the index or rate as at the commencement date) are recognised in the period in which the event or condition that triggers those payments occur.</w:t>
      </w:r>
    </w:p>
    <w:p w14:paraId="7E2578E3" w14:textId="77777777" w:rsidR="005D72AE" w:rsidRPr="00844A25" w:rsidRDefault="005D72AE" w:rsidP="005D72AE">
      <w:pPr>
        <w:rPr>
          <w:lang w:val="en-US"/>
        </w:rPr>
      </w:pPr>
      <w:r w:rsidRPr="00844A25">
        <w:rPr>
          <w:lang w:val="en-US"/>
        </w:rPr>
        <w:t>Other include mainly sundry expenses such as software maintenance and licences, advertising and promotions and other office related expenses.</w:t>
      </w:r>
    </w:p>
    <w:p w14:paraId="7E9B9FA9" w14:textId="77777777" w:rsidR="005D72AE" w:rsidRPr="00844A25" w:rsidRDefault="005D72AE" w:rsidP="005D72AE">
      <w:pPr>
        <w:pStyle w:val="Heading2"/>
      </w:pPr>
      <w:bookmarkStart w:id="10" w:name="_Toc58838599"/>
      <w:bookmarkStart w:id="11" w:name="_Toc58838734"/>
      <w:bookmarkStart w:id="12" w:name="_Toc58869006"/>
      <w:r w:rsidRPr="00844A25">
        <w:lastRenderedPageBreak/>
        <w:t>Note 4. Administered items</w:t>
      </w:r>
      <w:bookmarkEnd w:id="10"/>
      <w:bookmarkEnd w:id="11"/>
      <w:bookmarkEnd w:id="12"/>
      <w:r w:rsidRPr="00844A25">
        <w:t xml:space="preserve"> </w:t>
      </w:r>
    </w:p>
    <w:p w14:paraId="334918B2" w14:textId="77777777" w:rsidR="005D72AE" w:rsidRPr="00844A25" w:rsidRDefault="005D72AE" w:rsidP="005D72AE">
      <w:pPr>
        <w:rPr>
          <w:lang w:val="en-US"/>
        </w:rPr>
      </w:pPr>
      <w:r w:rsidRPr="00844A25">
        <w:rPr>
          <w:lang w:val="en-US"/>
        </w:rPr>
        <w:t xml:space="preserve">In addition to the specific controlled operations which are included in the balance sheet, comprehensive operating statement, statement of equity and cash flow statement, the commission administers or manages activities on behalf of the State. The transactions relating to these State activities are reported as administered in this note. Administered transactions give rise to income, expenses, assets and liabilities and are determined on an accrual basis. Administered income consists principally of licence fees. Administered assets include licence fee income earned but yet to be collected. Licence fees are accrued on the basis of a determination made by the Assistant Treasurer. </w:t>
      </w:r>
    </w:p>
    <w:p w14:paraId="164539B6" w14:textId="77777777" w:rsidR="005D72AE" w:rsidRPr="00844A25" w:rsidRDefault="005D72AE" w:rsidP="005D72AE">
      <w:pPr>
        <w:rPr>
          <w:lang w:val="en-US"/>
        </w:rPr>
      </w:pPr>
      <w:r w:rsidRPr="00844A25">
        <w:rPr>
          <w:lang w:val="en-US"/>
        </w:rPr>
        <w:t xml:space="preserve">The commission acts on behalf of the Victorian Government in collecting licence fees administered by the commission under the </w:t>
      </w:r>
      <w:r w:rsidRPr="00844A25">
        <w:rPr>
          <w:i/>
          <w:iCs/>
          <w:lang w:val="en-US"/>
        </w:rPr>
        <w:t>Electricity Industry Act 2000</w:t>
      </w:r>
      <w:r w:rsidRPr="00844A25">
        <w:rPr>
          <w:lang w:val="en-US"/>
        </w:rPr>
        <w:t xml:space="preserve">, the </w:t>
      </w:r>
      <w:r w:rsidRPr="00844A25">
        <w:rPr>
          <w:i/>
          <w:iCs/>
          <w:lang w:val="en-US"/>
        </w:rPr>
        <w:t>Gas Industry Act 2001</w:t>
      </w:r>
      <w:r w:rsidRPr="00844A25">
        <w:rPr>
          <w:lang w:val="en-US"/>
        </w:rPr>
        <w:t xml:space="preserve">, and the </w:t>
      </w:r>
      <w:r w:rsidRPr="00844A25">
        <w:rPr>
          <w:i/>
          <w:iCs/>
          <w:lang w:val="en-US"/>
        </w:rPr>
        <w:t>Water Industry Act 1994</w:t>
      </w:r>
      <w:r w:rsidRPr="00844A25">
        <w:rPr>
          <w:lang w:val="en-US"/>
        </w:rPr>
        <w:t xml:space="preserve">, and Victorian Energy Efficiency certificates issued under the </w:t>
      </w:r>
      <w:r w:rsidRPr="00844A25">
        <w:rPr>
          <w:i/>
          <w:iCs/>
          <w:lang w:val="en-US"/>
        </w:rPr>
        <w:t>Victorian Energy Efficiency Target Act 2007</w:t>
      </w:r>
      <w:r w:rsidRPr="00844A25">
        <w:rPr>
          <w:lang w:val="en-US"/>
        </w:rPr>
        <w:t xml:space="preserve">, and penalties issued under these acts and the </w:t>
      </w:r>
      <w:r w:rsidRPr="00844A25">
        <w:rPr>
          <w:i/>
          <w:iCs/>
          <w:lang w:val="en-US"/>
        </w:rPr>
        <w:t>Essential Services Commission Act 2001</w:t>
      </w:r>
      <w:r w:rsidRPr="00844A25">
        <w:rPr>
          <w:lang w:val="en-US"/>
        </w:rPr>
        <w:t>.</w:t>
      </w:r>
    </w:p>
    <w:p w14:paraId="78C3B4CF" w14:textId="77777777" w:rsidR="005D72AE" w:rsidRPr="00844A25" w:rsidRDefault="005D72AE" w:rsidP="005D72AE">
      <w:pPr>
        <w:rPr>
          <w:lang w:val="en-US"/>
        </w:rPr>
      </w:pPr>
      <w:r w:rsidRPr="00844A25">
        <w:rPr>
          <w:lang w:val="en-US"/>
        </w:rPr>
        <w:t>These and certain other administered revenues are collected by the commission but not controlled by it, and are not recognised as revenues/receivables within the body of the financial statements, but are reported as administered revenues/receivables. Such amounts are required to be paid to the Consolidated Fund.</w:t>
      </w:r>
    </w:p>
    <w:tbl>
      <w:tblPr>
        <w:tblStyle w:val="PlainTable2"/>
        <w:tblW w:w="9401" w:type="dxa"/>
        <w:tblLayout w:type="fixed"/>
        <w:tblLook w:val="0000" w:firstRow="0" w:lastRow="0" w:firstColumn="0" w:lastColumn="0" w:noHBand="0" w:noVBand="0"/>
      </w:tblPr>
      <w:tblGrid>
        <w:gridCol w:w="5719"/>
        <w:gridCol w:w="1761"/>
        <w:gridCol w:w="1921"/>
      </w:tblGrid>
      <w:tr w:rsidR="005D72AE" w:rsidRPr="00844A25" w14:paraId="66C13E4F" w14:textId="77777777" w:rsidTr="00FA2A1A">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5719" w:type="dxa"/>
          </w:tcPr>
          <w:p w14:paraId="06FC6429" w14:textId="77777777" w:rsidR="005D72AE" w:rsidRPr="004610D8"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761" w:type="dxa"/>
            <w:shd w:val="clear" w:color="auto" w:fill="F2F2F2" w:themeFill="background1" w:themeFillShade="F2"/>
          </w:tcPr>
          <w:p w14:paraId="1B9B2F38" w14:textId="77777777" w:rsidR="005D72AE" w:rsidRPr="004610D8" w:rsidRDefault="005D72AE" w:rsidP="00FA2A1A">
            <w:pPr>
              <w:rPr>
                <w:b/>
                <w:bCs/>
                <w:lang w:val="en-US"/>
              </w:rPr>
            </w:pPr>
            <w:r w:rsidRPr="004610D8">
              <w:rPr>
                <w:b/>
                <w:bCs/>
                <w:lang w:val="en-US"/>
              </w:rPr>
              <w:t>2020</w:t>
            </w:r>
          </w:p>
        </w:tc>
        <w:tc>
          <w:tcPr>
            <w:cnfStyle w:val="000010000000" w:firstRow="0" w:lastRow="0" w:firstColumn="0" w:lastColumn="0" w:oddVBand="1" w:evenVBand="0" w:oddHBand="0" w:evenHBand="0" w:firstRowFirstColumn="0" w:firstRowLastColumn="0" w:lastRowFirstColumn="0" w:lastRowLastColumn="0"/>
            <w:tcW w:w="1921" w:type="dxa"/>
          </w:tcPr>
          <w:p w14:paraId="2B6F4545" w14:textId="77777777" w:rsidR="005D72AE" w:rsidRPr="004610D8" w:rsidRDefault="005D72AE" w:rsidP="00FA2A1A">
            <w:pPr>
              <w:rPr>
                <w:b/>
                <w:bCs/>
                <w:lang w:val="en-US"/>
              </w:rPr>
            </w:pPr>
            <w:r w:rsidRPr="004610D8">
              <w:rPr>
                <w:b/>
                <w:bCs/>
                <w:lang w:val="en-US"/>
              </w:rPr>
              <w:t>2019</w:t>
            </w:r>
          </w:p>
        </w:tc>
      </w:tr>
      <w:tr w:rsidR="005D72AE" w:rsidRPr="00844A25" w14:paraId="78771364" w14:textId="77777777" w:rsidTr="00FA2A1A">
        <w:trPr>
          <w:trHeight w:val="255"/>
        </w:trPr>
        <w:tc>
          <w:tcPr>
            <w:cnfStyle w:val="000010000000" w:firstRow="0" w:lastRow="0" w:firstColumn="0" w:lastColumn="0" w:oddVBand="1" w:evenVBand="0" w:oddHBand="0" w:evenHBand="0" w:firstRowFirstColumn="0" w:firstRowLastColumn="0" w:lastRowFirstColumn="0" w:lastRowLastColumn="0"/>
            <w:tcW w:w="5719" w:type="dxa"/>
          </w:tcPr>
          <w:p w14:paraId="1E80392A" w14:textId="77777777" w:rsidR="005D72AE" w:rsidRPr="004610D8"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761" w:type="dxa"/>
            <w:shd w:val="clear" w:color="auto" w:fill="F2F2F2" w:themeFill="background1" w:themeFillShade="F2"/>
          </w:tcPr>
          <w:p w14:paraId="381DB947" w14:textId="77777777" w:rsidR="005D72AE" w:rsidRPr="004610D8" w:rsidRDefault="005D72AE" w:rsidP="00FA2A1A">
            <w:pPr>
              <w:rPr>
                <w:b/>
                <w:bCs/>
                <w:lang w:val="en-US"/>
              </w:rPr>
            </w:pPr>
            <w:r w:rsidRPr="004610D8">
              <w:rPr>
                <w:b/>
                <w:bCs/>
                <w:lang w:val="en-US"/>
              </w:rPr>
              <w:t>$</w:t>
            </w:r>
          </w:p>
        </w:tc>
        <w:tc>
          <w:tcPr>
            <w:cnfStyle w:val="000010000000" w:firstRow="0" w:lastRow="0" w:firstColumn="0" w:lastColumn="0" w:oddVBand="1" w:evenVBand="0" w:oddHBand="0" w:evenHBand="0" w:firstRowFirstColumn="0" w:firstRowLastColumn="0" w:lastRowFirstColumn="0" w:lastRowLastColumn="0"/>
            <w:tcW w:w="1921" w:type="dxa"/>
          </w:tcPr>
          <w:p w14:paraId="6759BB66" w14:textId="77777777" w:rsidR="005D72AE" w:rsidRPr="004610D8" w:rsidRDefault="005D72AE" w:rsidP="00FA2A1A">
            <w:pPr>
              <w:rPr>
                <w:b/>
                <w:bCs/>
                <w:lang w:val="en-US"/>
              </w:rPr>
            </w:pPr>
            <w:r w:rsidRPr="004610D8">
              <w:rPr>
                <w:b/>
                <w:bCs/>
                <w:lang w:val="en-US"/>
              </w:rPr>
              <w:t>$</w:t>
            </w:r>
          </w:p>
        </w:tc>
      </w:tr>
      <w:tr w:rsidR="005D72AE" w:rsidRPr="00844A25" w14:paraId="69FAB4D0" w14:textId="77777777" w:rsidTr="00FA2A1A">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5719" w:type="dxa"/>
          </w:tcPr>
          <w:p w14:paraId="0B2FCD48" w14:textId="77777777" w:rsidR="005D72AE" w:rsidRPr="005C59A6" w:rsidRDefault="005D72AE" w:rsidP="00FA2A1A">
            <w:pPr>
              <w:rPr>
                <w:b/>
                <w:bCs/>
                <w:lang w:val="en-US"/>
              </w:rPr>
            </w:pPr>
            <w:r w:rsidRPr="005C59A6">
              <w:rPr>
                <w:b/>
                <w:bCs/>
                <w:lang w:val="en-US"/>
              </w:rPr>
              <w:t>Administered income from transactions</w:t>
            </w:r>
          </w:p>
        </w:tc>
        <w:tc>
          <w:tcPr>
            <w:cnfStyle w:val="000001000000" w:firstRow="0" w:lastRow="0" w:firstColumn="0" w:lastColumn="0" w:oddVBand="0" w:evenVBand="1" w:oddHBand="0" w:evenHBand="0" w:firstRowFirstColumn="0" w:firstRowLastColumn="0" w:lastRowFirstColumn="0" w:lastRowLastColumn="0"/>
            <w:tcW w:w="1761" w:type="dxa"/>
            <w:shd w:val="clear" w:color="auto" w:fill="F2F2F2" w:themeFill="background1" w:themeFillShade="F2"/>
          </w:tcPr>
          <w:p w14:paraId="43E2F0A3" w14:textId="77777777" w:rsidR="005D72AE" w:rsidRPr="005C59A6"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1921" w:type="dxa"/>
          </w:tcPr>
          <w:p w14:paraId="743680DE" w14:textId="77777777" w:rsidR="005D72AE" w:rsidRPr="005C59A6" w:rsidRDefault="005D72AE" w:rsidP="00FA2A1A">
            <w:pPr>
              <w:rPr>
                <w:b/>
                <w:bCs/>
                <w:lang w:val="en-GB"/>
              </w:rPr>
            </w:pPr>
          </w:p>
        </w:tc>
      </w:tr>
      <w:tr w:rsidR="005D72AE" w:rsidRPr="00844A25" w14:paraId="7C5B01E9" w14:textId="77777777" w:rsidTr="00FA2A1A">
        <w:trPr>
          <w:trHeight w:val="255"/>
        </w:trPr>
        <w:tc>
          <w:tcPr>
            <w:cnfStyle w:val="000010000000" w:firstRow="0" w:lastRow="0" w:firstColumn="0" w:lastColumn="0" w:oddVBand="1" w:evenVBand="0" w:oddHBand="0" w:evenHBand="0" w:firstRowFirstColumn="0" w:firstRowLastColumn="0" w:lastRowFirstColumn="0" w:lastRowLastColumn="0"/>
            <w:tcW w:w="5719" w:type="dxa"/>
          </w:tcPr>
          <w:p w14:paraId="51F78C9E" w14:textId="77777777" w:rsidR="005D72AE" w:rsidRPr="00844A25" w:rsidRDefault="005D72AE" w:rsidP="00FA2A1A">
            <w:pPr>
              <w:rPr>
                <w:lang w:val="en-US"/>
              </w:rPr>
            </w:pPr>
            <w:r w:rsidRPr="00844A25">
              <w:rPr>
                <w:lang w:val="en-US"/>
              </w:rPr>
              <w:t>Licence and other fees</w:t>
            </w:r>
          </w:p>
        </w:tc>
        <w:tc>
          <w:tcPr>
            <w:cnfStyle w:val="000001000000" w:firstRow="0" w:lastRow="0" w:firstColumn="0" w:lastColumn="0" w:oddVBand="0" w:evenVBand="1" w:oddHBand="0" w:evenHBand="0" w:firstRowFirstColumn="0" w:firstRowLastColumn="0" w:lastRowFirstColumn="0" w:lastRowLastColumn="0"/>
            <w:tcW w:w="1761" w:type="dxa"/>
            <w:shd w:val="clear" w:color="auto" w:fill="F2F2F2" w:themeFill="background1" w:themeFillShade="F2"/>
          </w:tcPr>
          <w:p w14:paraId="20DA694F" w14:textId="77777777" w:rsidR="005D72AE" w:rsidRPr="00844A25" w:rsidRDefault="005D72AE" w:rsidP="00FA2A1A">
            <w:pPr>
              <w:rPr>
                <w:lang w:val="en-US"/>
              </w:rPr>
            </w:pPr>
            <w:r w:rsidRPr="00844A25">
              <w:rPr>
                <w:lang w:val="en-US"/>
              </w:rPr>
              <w:t>24,546,424</w:t>
            </w:r>
          </w:p>
        </w:tc>
        <w:tc>
          <w:tcPr>
            <w:cnfStyle w:val="000010000000" w:firstRow="0" w:lastRow="0" w:firstColumn="0" w:lastColumn="0" w:oddVBand="1" w:evenVBand="0" w:oddHBand="0" w:evenHBand="0" w:firstRowFirstColumn="0" w:firstRowLastColumn="0" w:lastRowFirstColumn="0" w:lastRowLastColumn="0"/>
            <w:tcW w:w="1921" w:type="dxa"/>
          </w:tcPr>
          <w:p w14:paraId="7606C25B" w14:textId="77777777" w:rsidR="005D72AE" w:rsidRPr="00844A25" w:rsidRDefault="005D72AE" w:rsidP="00FA2A1A">
            <w:pPr>
              <w:rPr>
                <w:lang w:val="en-US"/>
              </w:rPr>
            </w:pPr>
            <w:r w:rsidRPr="00844A25">
              <w:rPr>
                <w:lang w:val="en-US"/>
              </w:rPr>
              <w:t>17,387,249</w:t>
            </w:r>
          </w:p>
        </w:tc>
      </w:tr>
      <w:tr w:rsidR="005D72AE" w:rsidRPr="00844A25" w14:paraId="62E92002" w14:textId="77777777" w:rsidTr="00FA2A1A">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5719" w:type="dxa"/>
          </w:tcPr>
          <w:p w14:paraId="4A65345D" w14:textId="77777777" w:rsidR="005D72AE" w:rsidRPr="005C59A6" w:rsidRDefault="005D72AE" w:rsidP="00FA2A1A">
            <w:pPr>
              <w:rPr>
                <w:b/>
                <w:bCs/>
                <w:lang w:val="en-US"/>
              </w:rPr>
            </w:pPr>
            <w:r w:rsidRPr="005C59A6">
              <w:rPr>
                <w:b/>
                <w:bCs/>
                <w:lang w:val="en-US"/>
              </w:rPr>
              <w:t>Total administered income from transactions</w:t>
            </w:r>
          </w:p>
        </w:tc>
        <w:tc>
          <w:tcPr>
            <w:cnfStyle w:val="000001000000" w:firstRow="0" w:lastRow="0" w:firstColumn="0" w:lastColumn="0" w:oddVBand="0" w:evenVBand="1" w:oddHBand="0" w:evenHBand="0" w:firstRowFirstColumn="0" w:firstRowLastColumn="0" w:lastRowFirstColumn="0" w:lastRowLastColumn="0"/>
            <w:tcW w:w="1761" w:type="dxa"/>
            <w:shd w:val="clear" w:color="auto" w:fill="F2F2F2" w:themeFill="background1" w:themeFillShade="F2"/>
          </w:tcPr>
          <w:p w14:paraId="2796C335" w14:textId="77777777" w:rsidR="005D72AE" w:rsidRPr="005C59A6" w:rsidRDefault="005D72AE" w:rsidP="00FA2A1A">
            <w:pPr>
              <w:rPr>
                <w:b/>
                <w:bCs/>
                <w:lang w:val="en-US"/>
              </w:rPr>
            </w:pPr>
            <w:r w:rsidRPr="005C59A6">
              <w:rPr>
                <w:b/>
                <w:bCs/>
                <w:lang w:val="en-US"/>
              </w:rPr>
              <w:t>24,546,424</w:t>
            </w:r>
          </w:p>
        </w:tc>
        <w:tc>
          <w:tcPr>
            <w:cnfStyle w:val="000010000000" w:firstRow="0" w:lastRow="0" w:firstColumn="0" w:lastColumn="0" w:oddVBand="1" w:evenVBand="0" w:oddHBand="0" w:evenHBand="0" w:firstRowFirstColumn="0" w:firstRowLastColumn="0" w:lastRowFirstColumn="0" w:lastRowLastColumn="0"/>
            <w:tcW w:w="1921" w:type="dxa"/>
          </w:tcPr>
          <w:p w14:paraId="5DCB7F8D" w14:textId="77777777" w:rsidR="005D72AE" w:rsidRPr="005C59A6" w:rsidRDefault="005D72AE" w:rsidP="00FA2A1A">
            <w:pPr>
              <w:rPr>
                <w:b/>
                <w:bCs/>
                <w:lang w:val="en-US"/>
              </w:rPr>
            </w:pPr>
            <w:r w:rsidRPr="005C59A6">
              <w:rPr>
                <w:b/>
                <w:bCs/>
                <w:lang w:val="en-US"/>
              </w:rPr>
              <w:t>17,387,249</w:t>
            </w:r>
          </w:p>
        </w:tc>
      </w:tr>
      <w:tr w:rsidR="005D72AE" w:rsidRPr="00844A25" w14:paraId="2214295B" w14:textId="77777777" w:rsidTr="00FA2A1A">
        <w:trPr>
          <w:trHeight w:val="255"/>
        </w:trPr>
        <w:tc>
          <w:tcPr>
            <w:cnfStyle w:val="000010000000" w:firstRow="0" w:lastRow="0" w:firstColumn="0" w:lastColumn="0" w:oddVBand="1" w:evenVBand="0" w:oddHBand="0" w:evenHBand="0" w:firstRowFirstColumn="0" w:firstRowLastColumn="0" w:lastRowFirstColumn="0" w:lastRowLastColumn="0"/>
            <w:tcW w:w="5719" w:type="dxa"/>
          </w:tcPr>
          <w:p w14:paraId="247DDA20" w14:textId="77777777" w:rsidR="005D72AE" w:rsidRPr="00844A25"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1761" w:type="dxa"/>
            <w:shd w:val="clear" w:color="auto" w:fill="F2F2F2" w:themeFill="background1" w:themeFillShade="F2"/>
          </w:tcPr>
          <w:p w14:paraId="0B25B899"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921" w:type="dxa"/>
          </w:tcPr>
          <w:p w14:paraId="4127772F" w14:textId="77777777" w:rsidR="005D72AE" w:rsidRPr="00844A25" w:rsidRDefault="005D72AE" w:rsidP="00FA2A1A">
            <w:pPr>
              <w:rPr>
                <w:lang w:val="en-GB"/>
              </w:rPr>
            </w:pPr>
          </w:p>
        </w:tc>
      </w:tr>
      <w:tr w:rsidR="005D72AE" w:rsidRPr="00844A25" w14:paraId="3106631A" w14:textId="77777777" w:rsidTr="00FA2A1A">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5719" w:type="dxa"/>
          </w:tcPr>
          <w:p w14:paraId="7A835562" w14:textId="77777777" w:rsidR="005D72AE" w:rsidRPr="005C59A6" w:rsidRDefault="005D72AE" w:rsidP="00FA2A1A">
            <w:pPr>
              <w:rPr>
                <w:b/>
                <w:bCs/>
                <w:lang w:val="en-US"/>
              </w:rPr>
            </w:pPr>
            <w:r w:rsidRPr="005C59A6">
              <w:rPr>
                <w:b/>
                <w:bCs/>
                <w:lang w:val="en-US"/>
              </w:rPr>
              <w:t>Administered expenses from transactions</w:t>
            </w:r>
          </w:p>
        </w:tc>
        <w:tc>
          <w:tcPr>
            <w:cnfStyle w:val="000001000000" w:firstRow="0" w:lastRow="0" w:firstColumn="0" w:lastColumn="0" w:oddVBand="0" w:evenVBand="1" w:oddHBand="0" w:evenHBand="0" w:firstRowFirstColumn="0" w:firstRowLastColumn="0" w:lastRowFirstColumn="0" w:lastRowLastColumn="0"/>
            <w:tcW w:w="1761" w:type="dxa"/>
            <w:shd w:val="clear" w:color="auto" w:fill="F2F2F2" w:themeFill="background1" w:themeFillShade="F2"/>
          </w:tcPr>
          <w:p w14:paraId="1B6F7BD4" w14:textId="77777777" w:rsidR="005D72AE" w:rsidRPr="005C59A6"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1921" w:type="dxa"/>
          </w:tcPr>
          <w:p w14:paraId="1EEE24CC" w14:textId="77777777" w:rsidR="005D72AE" w:rsidRPr="005C59A6" w:rsidRDefault="005D72AE" w:rsidP="00FA2A1A">
            <w:pPr>
              <w:rPr>
                <w:b/>
                <w:bCs/>
                <w:lang w:val="en-GB"/>
              </w:rPr>
            </w:pPr>
          </w:p>
        </w:tc>
      </w:tr>
      <w:tr w:rsidR="005D72AE" w:rsidRPr="00844A25" w14:paraId="0C19A41A" w14:textId="77777777" w:rsidTr="00FA2A1A">
        <w:trPr>
          <w:trHeight w:val="255"/>
        </w:trPr>
        <w:tc>
          <w:tcPr>
            <w:cnfStyle w:val="000010000000" w:firstRow="0" w:lastRow="0" w:firstColumn="0" w:lastColumn="0" w:oddVBand="1" w:evenVBand="0" w:oddHBand="0" w:evenHBand="0" w:firstRowFirstColumn="0" w:firstRowLastColumn="0" w:lastRowFirstColumn="0" w:lastRowLastColumn="0"/>
            <w:tcW w:w="5719" w:type="dxa"/>
          </w:tcPr>
          <w:p w14:paraId="5D14B0BD" w14:textId="77777777" w:rsidR="005D72AE" w:rsidRPr="00844A25" w:rsidRDefault="005D72AE" w:rsidP="00FA2A1A">
            <w:pPr>
              <w:rPr>
                <w:lang w:val="en-US"/>
              </w:rPr>
            </w:pPr>
            <w:r w:rsidRPr="00844A25">
              <w:rPr>
                <w:lang w:val="en-US"/>
              </w:rPr>
              <w:t>Payments into the Consolidated Fund</w:t>
            </w:r>
          </w:p>
        </w:tc>
        <w:tc>
          <w:tcPr>
            <w:cnfStyle w:val="000001000000" w:firstRow="0" w:lastRow="0" w:firstColumn="0" w:lastColumn="0" w:oddVBand="0" w:evenVBand="1" w:oddHBand="0" w:evenHBand="0" w:firstRowFirstColumn="0" w:firstRowLastColumn="0" w:lastRowFirstColumn="0" w:lastRowLastColumn="0"/>
            <w:tcW w:w="1761" w:type="dxa"/>
            <w:shd w:val="clear" w:color="auto" w:fill="F2F2F2" w:themeFill="background1" w:themeFillShade="F2"/>
          </w:tcPr>
          <w:p w14:paraId="7DCD29C2" w14:textId="77777777" w:rsidR="005D72AE" w:rsidRPr="00844A25" w:rsidRDefault="005D72AE" w:rsidP="00FA2A1A">
            <w:pPr>
              <w:rPr>
                <w:lang w:val="en-US"/>
              </w:rPr>
            </w:pPr>
            <w:r w:rsidRPr="00844A25">
              <w:rPr>
                <w:lang w:val="en-US"/>
              </w:rPr>
              <w:t>18,251,456</w:t>
            </w:r>
          </w:p>
        </w:tc>
        <w:tc>
          <w:tcPr>
            <w:cnfStyle w:val="000010000000" w:firstRow="0" w:lastRow="0" w:firstColumn="0" w:lastColumn="0" w:oddVBand="1" w:evenVBand="0" w:oddHBand="0" w:evenHBand="0" w:firstRowFirstColumn="0" w:firstRowLastColumn="0" w:lastRowFirstColumn="0" w:lastRowLastColumn="0"/>
            <w:tcW w:w="1921" w:type="dxa"/>
          </w:tcPr>
          <w:p w14:paraId="42C7F548" w14:textId="77777777" w:rsidR="005D72AE" w:rsidRPr="00844A25" w:rsidRDefault="005D72AE" w:rsidP="00FA2A1A">
            <w:pPr>
              <w:rPr>
                <w:lang w:val="en-US"/>
              </w:rPr>
            </w:pPr>
            <w:r w:rsidRPr="00844A25">
              <w:rPr>
                <w:lang w:val="en-US"/>
              </w:rPr>
              <w:t>16,535,487</w:t>
            </w:r>
          </w:p>
        </w:tc>
      </w:tr>
      <w:tr w:rsidR="005D72AE" w:rsidRPr="00844A25" w14:paraId="0A7C8375" w14:textId="77777777" w:rsidTr="00FA2A1A">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5719" w:type="dxa"/>
          </w:tcPr>
          <w:p w14:paraId="4EB91DDC" w14:textId="77777777" w:rsidR="005D72AE" w:rsidRPr="005C59A6" w:rsidRDefault="005D72AE" w:rsidP="00FA2A1A">
            <w:pPr>
              <w:rPr>
                <w:b/>
                <w:bCs/>
                <w:lang w:val="en-US"/>
              </w:rPr>
            </w:pPr>
            <w:r w:rsidRPr="005C59A6">
              <w:rPr>
                <w:b/>
                <w:bCs/>
                <w:lang w:val="en-US"/>
              </w:rPr>
              <w:t>Total administered expenses from transactions</w:t>
            </w:r>
          </w:p>
        </w:tc>
        <w:tc>
          <w:tcPr>
            <w:cnfStyle w:val="000001000000" w:firstRow="0" w:lastRow="0" w:firstColumn="0" w:lastColumn="0" w:oddVBand="0" w:evenVBand="1" w:oddHBand="0" w:evenHBand="0" w:firstRowFirstColumn="0" w:firstRowLastColumn="0" w:lastRowFirstColumn="0" w:lastRowLastColumn="0"/>
            <w:tcW w:w="1761" w:type="dxa"/>
            <w:shd w:val="clear" w:color="auto" w:fill="F2F2F2" w:themeFill="background1" w:themeFillShade="F2"/>
          </w:tcPr>
          <w:p w14:paraId="2EBB6567" w14:textId="77777777" w:rsidR="005D72AE" w:rsidRPr="005C59A6" w:rsidRDefault="005D72AE" w:rsidP="00FA2A1A">
            <w:pPr>
              <w:rPr>
                <w:b/>
                <w:bCs/>
                <w:lang w:val="en-US"/>
              </w:rPr>
            </w:pPr>
            <w:r w:rsidRPr="005C59A6">
              <w:rPr>
                <w:b/>
                <w:bCs/>
                <w:lang w:val="en-US"/>
              </w:rPr>
              <w:t>18,251,456</w:t>
            </w:r>
          </w:p>
        </w:tc>
        <w:tc>
          <w:tcPr>
            <w:cnfStyle w:val="000010000000" w:firstRow="0" w:lastRow="0" w:firstColumn="0" w:lastColumn="0" w:oddVBand="1" w:evenVBand="0" w:oddHBand="0" w:evenHBand="0" w:firstRowFirstColumn="0" w:firstRowLastColumn="0" w:lastRowFirstColumn="0" w:lastRowLastColumn="0"/>
            <w:tcW w:w="1921" w:type="dxa"/>
          </w:tcPr>
          <w:p w14:paraId="662DEA25" w14:textId="77777777" w:rsidR="005D72AE" w:rsidRPr="005C59A6" w:rsidRDefault="005D72AE" w:rsidP="00FA2A1A">
            <w:pPr>
              <w:rPr>
                <w:b/>
                <w:bCs/>
                <w:lang w:val="en-US"/>
              </w:rPr>
            </w:pPr>
            <w:r w:rsidRPr="005C59A6">
              <w:rPr>
                <w:b/>
                <w:bCs/>
                <w:lang w:val="en-US"/>
              </w:rPr>
              <w:t>16,535,487</w:t>
            </w:r>
          </w:p>
        </w:tc>
      </w:tr>
      <w:tr w:rsidR="005D72AE" w:rsidRPr="00844A25" w14:paraId="46AEEB39" w14:textId="77777777" w:rsidTr="00FA2A1A">
        <w:trPr>
          <w:trHeight w:val="255"/>
        </w:trPr>
        <w:tc>
          <w:tcPr>
            <w:cnfStyle w:val="000010000000" w:firstRow="0" w:lastRow="0" w:firstColumn="0" w:lastColumn="0" w:oddVBand="1" w:evenVBand="0" w:oddHBand="0" w:evenHBand="0" w:firstRowFirstColumn="0" w:firstRowLastColumn="0" w:lastRowFirstColumn="0" w:lastRowLastColumn="0"/>
            <w:tcW w:w="5719" w:type="dxa"/>
          </w:tcPr>
          <w:p w14:paraId="65CBD633" w14:textId="77777777" w:rsidR="005D72AE" w:rsidRPr="005C59A6" w:rsidRDefault="005D72AE" w:rsidP="00FA2A1A">
            <w:pPr>
              <w:rPr>
                <w:b/>
                <w:bCs/>
                <w:lang w:val="en-US"/>
              </w:rPr>
            </w:pPr>
            <w:r w:rsidRPr="005C59A6">
              <w:rPr>
                <w:b/>
                <w:bCs/>
                <w:lang w:val="en-US"/>
              </w:rPr>
              <w:t xml:space="preserve">Administered net result </w:t>
            </w:r>
          </w:p>
        </w:tc>
        <w:tc>
          <w:tcPr>
            <w:cnfStyle w:val="000001000000" w:firstRow="0" w:lastRow="0" w:firstColumn="0" w:lastColumn="0" w:oddVBand="0" w:evenVBand="1" w:oddHBand="0" w:evenHBand="0" w:firstRowFirstColumn="0" w:firstRowLastColumn="0" w:lastRowFirstColumn="0" w:lastRowLastColumn="0"/>
            <w:tcW w:w="1761" w:type="dxa"/>
            <w:shd w:val="clear" w:color="auto" w:fill="F2F2F2" w:themeFill="background1" w:themeFillShade="F2"/>
          </w:tcPr>
          <w:p w14:paraId="57E5534B" w14:textId="77777777" w:rsidR="005D72AE" w:rsidRPr="005C59A6" w:rsidRDefault="005D72AE" w:rsidP="00FA2A1A">
            <w:pPr>
              <w:rPr>
                <w:b/>
                <w:bCs/>
                <w:lang w:val="en-US"/>
              </w:rPr>
            </w:pPr>
            <w:r w:rsidRPr="005C59A6">
              <w:rPr>
                <w:b/>
                <w:bCs/>
                <w:lang w:val="en-US"/>
              </w:rPr>
              <w:t>6,294,968</w:t>
            </w:r>
          </w:p>
        </w:tc>
        <w:tc>
          <w:tcPr>
            <w:cnfStyle w:val="000010000000" w:firstRow="0" w:lastRow="0" w:firstColumn="0" w:lastColumn="0" w:oddVBand="1" w:evenVBand="0" w:oddHBand="0" w:evenHBand="0" w:firstRowFirstColumn="0" w:firstRowLastColumn="0" w:lastRowFirstColumn="0" w:lastRowLastColumn="0"/>
            <w:tcW w:w="1921" w:type="dxa"/>
          </w:tcPr>
          <w:p w14:paraId="13B94C40" w14:textId="77777777" w:rsidR="005D72AE" w:rsidRPr="005C59A6" w:rsidRDefault="005D72AE" w:rsidP="00FA2A1A">
            <w:pPr>
              <w:rPr>
                <w:b/>
                <w:bCs/>
                <w:lang w:val="en-US"/>
              </w:rPr>
            </w:pPr>
            <w:r w:rsidRPr="005C59A6">
              <w:rPr>
                <w:b/>
                <w:bCs/>
                <w:lang w:val="en-US"/>
              </w:rPr>
              <w:t>851,762</w:t>
            </w:r>
          </w:p>
        </w:tc>
      </w:tr>
      <w:tr w:rsidR="005D72AE" w:rsidRPr="00844A25" w14:paraId="65E5FCB0" w14:textId="77777777" w:rsidTr="00FA2A1A">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5719" w:type="dxa"/>
          </w:tcPr>
          <w:p w14:paraId="3F82B77C" w14:textId="77777777" w:rsidR="005D72AE" w:rsidRPr="00844A25"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1761" w:type="dxa"/>
            <w:shd w:val="clear" w:color="auto" w:fill="F2F2F2" w:themeFill="background1" w:themeFillShade="F2"/>
          </w:tcPr>
          <w:p w14:paraId="14C5D85B"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921" w:type="dxa"/>
          </w:tcPr>
          <w:p w14:paraId="0509D967" w14:textId="77777777" w:rsidR="005D72AE" w:rsidRPr="00844A25" w:rsidRDefault="005D72AE" w:rsidP="00FA2A1A">
            <w:pPr>
              <w:rPr>
                <w:lang w:val="en-GB"/>
              </w:rPr>
            </w:pPr>
          </w:p>
        </w:tc>
      </w:tr>
      <w:tr w:rsidR="005D72AE" w:rsidRPr="00844A25" w14:paraId="6726AB45" w14:textId="77777777" w:rsidTr="00FA2A1A">
        <w:trPr>
          <w:trHeight w:val="255"/>
        </w:trPr>
        <w:tc>
          <w:tcPr>
            <w:cnfStyle w:val="000010000000" w:firstRow="0" w:lastRow="0" w:firstColumn="0" w:lastColumn="0" w:oddVBand="1" w:evenVBand="0" w:oddHBand="0" w:evenHBand="0" w:firstRowFirstColumn="0" w:firstRowLastColumn="0" w:lastRowFirstColumn="0" w:lastRowLastColumn="0"/>
            <w:tcW w:w="5719" w:type="dxa"/>
          </w:tcPr>
          <w:p w14:paraId="431BD596" w14:textId="77777777" w:rsidR="005D72AE" w:rsidRPr="005C59A6" w:rsidRDefault="005D72AE" w:rsidP="00FA2A1A">
            <w:pPr>
              <w:rPr>
                <w:b/>
                <w:bCs/>
                <w:lang w:val="en-US"/>
              </w:rPr>
            </w:pPr>
            <w:r w:rsidRPr="005C59A6">
              <w:rPr>
                <w:b/>
                <w:bCs/>
                <w:lang w:val="en-US"/>
              </w:rPr>
              <w:t>Administered assets</w:t>
            </w:r>
          </w:p>
        </w:tc>
        <w:tc>
          <w:tcPr>
            <w:cnfStyle w:val="000001000000" w:firstRow="0" w:lastRow="0" w:firstColumn="0" w:lastColumn="0" w:oddVBand="0" w:evenVBand="1" w:oddHBand="0" w:evenHBand="0" w:firstRowFirstColumn="0" w:firstRowLastColumn="0" w:lastRowFirstColumn="0" w:lastRowLastColumn="0"/>
            <w:tcW w:w="1761" w:type="dxa"/>
            <w:shd w:val="clear" w:color="auto" w:fill="F2F2F2" w:themeFill="background1" w:themeFillShade="F2"/>
          </w:tcPr>
          <w:p w14:paraId="1DDDB9AE" w14:textId="77777777" w:rsidR="005D72AE" w:rsidRPr="005C59A6"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1921" w:type="dxa"/>
          </w:tcPr>
          <w:p w14:paraId="5E29080C" w14:textId="77777777" w:rsidR="005D72AE" w:rsidRPr="005C59A6" w:rsidRDefault="005D72AE" w:rsidP="00FA2A1A">
            <w:pPr>
              <w:rPr>
                <w:b/>
                <w:bCs/>
                <w:lang w:val="en-GB"/>
              </w:rPr>
            </w:pPr>
          </w:p>
        </w:tc>
      </w:tr>
      <w:tr w:rsidR="005D72AE" w:rsidRPr="00844A25" w14:paraId="0DAB5682" w14:textId="77777777" w:rsidTr="00FA2A1A">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5719" w:type="dxa"/>
          </w:tcPr>
          <w:p w14:paraId="51855A05" w14:textId="77777777" w:rsidR="005D72AE" w:rsidRPr="00844A25" w:rsidRDefault="005D72AE" w:rsidP="00FA2A1A">
            <w:pPr>
              <w:rPr>
                <w:lang w:val="en-US"/>
              </w:rPr>
            </w:pPr>
            <w:r w:rsidRPr="00844A25">
              <w:rPr>
                <w:lang w:val="en-US"/>
              </w:rPr>
              <w:t>Debtors</w:t>
            </w:r>
          </w:p>
        </w:tc>
        <w:tc>
          <w:tcPr>
            <w:cnfStyle w:val="000001000000" w:firstRow="0" w:lastRow="0" w:firstColumn="0" w:lastColumn="0" w:oddVBand="0" w:evenVBand="1" w:oddHBand="0" w:evenHBand="0" w:firstRowFirstColumn="0" w:firstRowLastColumn="0" w:lastRowFirstColumn="0" w:lastRowLastColumn="0"/>
            <w:tcW w:w="1761" w:type="dxa"/>
            <w:shd w:val="clear" w:color="auto" w:fill="F2F2F2" w:themeFill="background1" w:themeFillShade="F2"/>
          </w:tcPr>
          <w:p w14:paraId="03DB5780" w14:textId="77777777" w:rsidR="005D72AE" w:rsidRPr="00844A25" w:rsidRDefault="005D72AE" w:rsidP="00FA2A1A">
            <w:pPr>
              <w:rPr>
                <w:lang w:val="en-US"/>
              </w:rPr>
            </w:pPr>
            <w:r w:rsidRPr="00844A25">
              <w:rPr>
                <w:lang w:val="en-US"/>
              </w:rPr>
              <w:t>143,343</w:t>
            </w:r>
          </w:p>
        </w:tc>
        <w:tc>
          <w:tcPr>
            <w:cnfStyle w:val="000010000000" w:firstRow="0" w:lastRow="0" w:firstColumn="0" w:lastColumn="0" w:oddVBand="1" w:evenVBand="0" w:oddHBand="0" w:evenHBand="0" w:firstRowFirstColumn="0" w:firstRowLastColumn="0" w:lastRowFirstColumn="0" w:lastRowLastColumn="0"/>
            <w:tcW w:w="1921" w:type="dxa"/>
          </w:tcPr>
          <w:p w14:paraId="10B86946" w14:textId="77777777" w:rsidR="005D72AE" w:rsidRPr="00844A25" w:rsidRDefault="005D72AE" w:rsidP="00FA2A1A">
            <w:pPr>
              <w:rPr>
                <w:lang w:val="en-US"/>
              </w:rPr>
            </w:pPr>
            <w:r w:rsidRPr="00844A25">
              <w:rPr>
                <w:lang w:val="en-US"/>
              </w:rPr>
              <w:t>63,796</w:t>
            </w:r>
          </w:p>
        </w:tc>
      </w:tr>
      <w:tr w:rsidR="005D72AE" w:rsidRPr="00844A25" w14:paraId="5ECC8F8E" w14:textId="77777777" w:rsidTr="00FA2A1A">
        <w:trPr>
          <w:trHeight w:val="255"/>
        </w:trPr>
        <w:tc>
          <w:tcPr>
            <w:cnfStyle w:val="000010000000" w:firstRow="0" w:lastRow="0" w:firstColumn="0" w:lastColumn="0" w:oddVBand="1" w:evenVBand="0" w:oddHBand="0" w:evenHBand="0" w:firstRowFirstColumn="0" w:firstRowLastColumn="0" w:lastRowFirstColumn="0" w:lastRowLastColumn="0"/>
            <w:tcW w:w="5719" w:type="dxa"/>
          </w:tcPr>
          <w:p w14:paraId="012275EC" w14:textId="77777777" w:rsidR="005D72AE" w:rsidRPr="00844A25" w:rsidRDefault="005D72AE" w:rsidP="00FA2A1A">
            <w:pPr>
              <w:rPr>
                <w:lang w:val="en-US"/>
              </w:rPr>
            </w:pPr>
            <w:r w:rsidRPr="00844A25">
              <w:rPr>
                <w:lang w:val="en-US"/>
              </w:rPr>
              <w:t>Amounts receivable from government departments</w:t>
            </w:r>
          </w:p>
        </w:tc>
        <w:tc>
          <w:tcPr>
            <w:cnfStyle w:val="000001000000" w:firstRow="0" w:lastRow="0" w:firstColumn="0" w:lastColumn="0" w:oddVBand="0" w:evenVBand="1" w:oddHBand="0" w:evenHBand="0" w:firstRowFirstColumn="0" w:firstRowLastColumn="0" w:lastRowFirstColumn="0" w:lastRowLastColumn="0"/>
            <w:tcW w:w="1761" w:type="dxa"/>
            <w:shd w:val="clear" w:color="auto" w:fill="F2F2F2" w:themeFill="background1" w:themeFillShade="F2"/>
          </w:tcPr>
          <w:p w14:paraId="22129728" w14:textId="77777777" w:rsidR="005D72AE" w:rsidRPr="00844A25" w:rsidRDefault="005D72AE" w:rsidP="00FA2A1A">
            <w:pPr>
              <w:rPr>
                <w:lang w:val="en-US"/>
              </w:rPr>
            </w:pPr>
            <w:r w:rsidRPr="00844A25">
              <w:rPr>
                <w:lang w:val="en-US"/>
              </w:rPr>
              <w:t>65,976</w:t>
            </w:r>
          </w:p>
        </w:tc>
        <w:tc>
          <w:tcPr>
            <w:cnfStyle w:val="000010000000" w:firstRow="0" w:lastRow="0" w:firstColumn="0" w:lastColumn="0" w:oddVBand="1" w:evenVBand="0" w:oddHBand="0" w:evenHBand="0" w:firstRowFirstColumn="0" w:firstRowLastColumn="0" w:lastRowFirstColumn="0" w:lastRowLastColumn="0"/>
            <w:tcW w:w="1921" w:type="dxa"/>
          </w:tcPr>
          <w:p w14:paraId="3E3DAAC1" w14:textId="77777777" w:rsidR="005D72AE" w:rsidRPr="00844A25" w:rsidRDefault="005D72AE" w:rsidP="00FA2A1A">
            <w:pPr>
              <w:rPr>
                <w:lang w:val="en-US"/>
              </w:rPr>
            </w:pPr>
            <w:r w:rsidRPr="00844A25">
              <w:rPr>
                <w:lang w:val="en-US"/>
              </w:rPr>
              <w:t>-</w:t>
            </w:r>
          </w:p>
        </w:tc>
      </w:tr>
      <w:tr w:rsidR="005D72AE" w:rsidRPr="00844A25" w14:paraId="0AEE04F5" w14:textId="77777777" w:rsidTr="00FA2A1A">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5719" w:type="dxa"/>
          </w:tcPr>
          <w:p w14:paraId="68AC3039" w14:textId="77777777" w:rsidR="005D72AE" w:rsidRPr="00844A25" w:rsidRDefault="005D72AE" w:rsidP="00FA2A1A">
            <w:pPr>
              <w:rPr>
                <w:lang w:val="en-US"/>
              </w:rPr>
            </w:pPr>
            <w:r w:rsidRPr="00844A25">
              <w:rPr>
                <w:lang w:val="en-US"/>
              </w:rPr>
              <w:lastRenderedPageBreak/>
              <w:t>Accrued income</w:t>
            </w:r>
          </w:p>
        </w:tc>
        <w:tc>
          <w:tcPr>
            <w:cnfStyle w:val="000001000000" w:firstRow="0" w:lastRow="0" w:firstColumn="0" w:lastColumn="0" w:oddVBand="0" w:evenVBand="1" w:oddHBand="0" w:evenHBand="0" w:firstRowFirstColumn="0" w:firstRowLastColumn="0" w:lastRowFirstColumn="0" w:lastRowLastColumn="0"/>
            <w:tcW w:w="1761" w:type="dxa"/>
            <w:shd w:val="clear" w:color="auto" w:fill="F2F2F2" w:themeFill="background1" w:themeFillShade="F2"/>
          </w:tcPr>
          <w:p w14:paraId="30C2DB4A" w14:textId="77777777" w:rsidR="005D72AE" w:rsidRPr="00844A25" w:rsidRDefault="005D72AE" w:rsidP="00FA2A1A">
            <w:pPr>
              <w:rPr>
                <w:lang w:val="en-US"/>
              </w:rPr>
            </w:pPr>
            <w:r w:rsidRPr="00844A25">
              <w:rPr>
                <w:lang w:val="en-US"/>
              </w:rPr>
              <w:t>15,337,495</w:t>
            </w:r>
          </w:p>
        </w:tc>
        <w:tc>
          <w:tcPr>
            <w:cnfStyle w:val="000010000000" w:firstRow="0" w:lastRow="0" w:firstColumn="0" w:lastColumn="0" w:oddVBand="1" w:evenVBand="0" w:oddHBand="0" w:evenHBand="0" w:firstRowFirstColumn="0" w:firstRowLastColumn="0" w:lastRowFirstColumn="0" w:lastRowLastColumn="0"/>
            <w:tcW w:w="1921" w:type="dxa"/>
          </w:tcPr>
          <w:p w14:paraId="3E6384E4" w14:textId="77777777" w:rsidR="005D72AE" w:rsidRPr="00844A25" w:rsidRDefault="005D72AE" w:rsidP="00FA2A1A">
            <w:pPr>
              <w:rPr>
                <w:lang w:val="en-US"/>
              </w:rPr>
            </w:pPr>
            <w:r w:rsidRPr="00844A25">
              <w:rPr>
                <w:lang w:val="en-US"/>
              </w:rPr>
              <w:t>9,122,074</w:t>
            </w:r>
          </w:p>
        </w:tc>
      </w:tr>
      <w:tr w:rsidR="005D72AE" w:rsidRPr="00844A25" w14:paraId="7D9317D1" w14:textId="77777777" w:rsidTr="00FA2A1A">
        <w:trPr>
          <w:trHeight w:val="255"/>
        </w:trPr>
        <w:tc>
          <w:tcPr>
            <w:cnfStyle w:val="000010000000" w:firstRow="0" w:lastRow="0" w:firstColumn="0" w:lastColumn="0" w:oddVBand="1" w:evenVBand="0" w:oddHBand="0" w:evenHBand="0" w:firstRowFirstColumn="0" w:firstRowLastColumn="0" w:lastRowFirstColumn="0" w:lastRowLastColumn="0"/>
            <w:tcW w:w="5719" w:type="dxa"/>
          </w:tcPr>
          <w:p w14:paraId="6840F495" w14:textId="77777777" w:rsidR="005D72AE" w:rsidRPr="005C59A6" w:rsidRDefault="005D72AE" w:rsidP="00FA2A1A">
            <w:pPr>
              <w:rPr>
                <w:b/>
                <w:bCs/>
                <w:lang w:val="en-US"/>
              </w:rPr>
            </w:pPr>
            <w:r w:rsidRPr="005C59A6">
              <w:rPr>
                <w:b/>
                <w:bCs/>
                <w:lang w:val="en-US"/>
              </w:rPr>
              <w:t>Total administered assets</w:t>
            </w:r>
          </w:p>
        </w:tc>
        <w:tc>
          <w:tcPr>
            <w:cnfStyle w:val="000001000000" w:firstRow="0" w:lastRow="0" w:firstColumn="0" w:lastColumn="0" w:oddVBand="0" w:evenVBand="1" w:oddHBand="0" w:evenHBand="0" w:firstRowFirstColumn="0" w:firstRowLastColumn="0" w:lastRowFirstColumn="0" w:lastRowLastColumn="0"/>
            <w:tcW w:w="1761" w:type="dxa"/>
            <w:shd w:val="clear" w:color="auto" w:fill="F2F2F2" w:themeFill="background1" w:themeFillShade="F2"/>
          </w:tcPr>
          <w:p w14:paraId="1EF3E035" w14:textId="77777777" w:rsidR="005D72AE" w:rsidRPr="005C59A6" w:rsidRDefault="005D72AE" w:rsidP="00FA2A1A">
            <w:pPr>
              <w:rPr>
                <w:b/>
                <w:bCs/>
                <w:lang w:val="en-US"/>
              </w:rPr>
            </w:pPr>
            <w:r w:rsidRPr="005C59A6">
              <w:rPr>
                <w:b/>
                <w:bCs/>
                <w:lang w:val="en-US"/>
              </w:rPr>
              <w:t>15,546,814</w:t>
            </w:r>
          </w:p>
        </w:tc>
        <w:tc>
          <w:tcPr>
            <w:cnfStyle w:val="000010000000" w:firstRow="0" w:lastRow="0" w:firstColumn="0" w:lastColumn="0" w:oddVBand="1" w:evenVBand="0" w:oddHBand="0" w:evenHBand="0" w:firstRowFirstColumn="0" w:firstRowLastColumn="0" w:lastRowFirstColumn="0" w:lastRowLastColumn="0"/>
            <w:tcW w:w="1921" w:type="dxa"/>
          </w:tcPr>
          <w:p w14:paraId="0CED1032" w14:textId="77777777" w:rsidR="005D72AE" w:rsidRPr="005C59A6" w:rsidRDefault="005D72AE" w:rsidP="00FA2A1A">
            <w:pPr>
              <w:rPr>
                <w:b/>
                <w:bCs/>
                <w:lang w:val="en-US"/>
              </w:rPr>
            </w:pPr>
            <w:r w:rsidRPr="005C59A6">
              <w:rPr>
                <w:b/>
                <w:bCs/>
                <w:lang w:val="en-US"/>
              </w:rPr>
              <w:t>9,185,870</w:t>
            </w:r>
          </w:p>
        </w:tc>
      </w:tr>
      <w:tr w:rsidR="005D72AE" w:rsidRPr="00844A25" w14:paraId="38077A98" w14:textId="77777777" w:rsidTr="00FA2A1A">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5719" w:type="dxa"/>
          </w:tcPr>
          <w:p w14:paraId="0F059BF9" w14:textId="77777777" w:rsidR="005D72AE" w:rsidRPr="00844A25"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1761" w:type="dxa"/>
            <w:shd w:val="clear" w:color="auto" w:fill="F2F2F2" w:themeFill="background1" w:themeFillShade="F2"/>
          </w:tcPr>
          <w:p w14:paraId="653D5A6C"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921" w:type="dxa"/>
          </w:tcPr>
          <w:p w14:paraId="7DC2DF8F" w14:textId="77777777" w:rsidR="005D72AE" w:rsidRPr="00844A25" w:rsidRDefault="005D72AE" w:rsidP="00FA2A1A">
            <w:pPr>
              <w:rPr>
                <w:lang w:val="en-GB"/>
              </w:rPr>
            </w:pPr>
          </w:p>
        </w:tc>
      </w:tr>
      <w:tr w:rsidR="005D72AE" w:rsidRPr="00844A25" w14:paraId="03C4B13D" w14:textId="77777777" w:rsidTr="00FA2A1A">
        <w:trPr>
          <w:trHeight w:val="255"/>
        </w:trPr>
        <w:tc>
          <w:tcPr>
            <w:cnfStyle w:val="000010000000" w:firstRow="0" w:lastRow="0" w:firstColumn="0" w:lastColumn="0" w:oddVBand="1" w:evenVBand="0" w:oddHBand="0" w:evenHBand="0" w:firstRowFirstColumn="0" w:firstRowLastColumn="0" w:lastRowFirstColumn="0" w:lastRowLastColumn="0"/>
            <w:tcW w:w="5719" w:type="dxa"/>
          </w:tcPr>
          <w:p w14:paraId="11F6E69F" w14:textId="77777777" w:rsidR="005D72AE" w:rsidRPr="005C59A6" w:rsidRDefault="005D72AE" w:rsidP="00FA2A1A">
            <w:pPr>
              <w:rPr>
                <w:b/>
                <w:bCs/>
                <w:lang w:val="en-US"/>
              </w:rPr>
            </w:pPr>
            <w:r w:rsidRPr="005C59A6">
              <w:rPr>
                <w:b/>
                <w:bCs/>
                <w:lang w:val="en-US"/>
              </w:rPr>
              <w:t>Administered liabilities</w:t>
            </w:r>
          </w:p>
        </w:tc>
        <w:tc>
          <w:tcPr>
            <w:cnfStyle w:val="000001000000" w:firstRow="0" w:lastRow="0" w:firstColumn="0" w:lastColumn="0" w:oddVBand="0" w:evenVBand="1" w:oddHBand="0" w:evenHBand="0" w:firstRowFirstColumn="0" w:firstRowLastColumn="0" w:lastRowFirstColumn="0" w:lastRowLastColumn="0"/>
            <w:tcW w:w="1761" w:type="dxa"/>
            <w:shd w:val="clear" w:color="auto" w:fill="F2F2F2" w:themeFill="background1" w:themeFillShade="F2"/>
          </w:tcPr>
          <w:p w14:paraId="47FA2D97"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921" w:type="dxa"/>
          </w:tcPr>
          <w:p w14:paraId="63B3CCCD" w14:textId="77777777" w:rsidR="005D72AE" w:rsidRPr="00844A25" w:rsidRDefault="005D72AE" w:rsidP="00FA2A1A">
            <w:pPr>
              <w:rPr>
                <w:lang w:val="en-GB"/>
              </w:rPr>
            </w:pPr>
          </w:p>
        </w:tc>
      </w:tr>
      <w:tr w:rsidR="005D72AE" w:rsidRPr="00844A25" w14:paraId="4A899D67" w14:textId="77777777" w:rsidTr="00FA2A1A">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5719" w:type="dxa"/>
          </w:tcPr>
          <w:p w14:paraId="2BD01FB1" w14:textId="77777777" w:rsidR="005D72AE" w:rsidRPr="00844A25" w:rsidRDefault="005D72AE" w:rsidP="00FA2A1A">
            <w:pPr>
              <w:rPr>
                <w:lang w:val="en-US"/>
              </w:rPr>
            </w:pPr>
            <w:r w:rsidRPr="00844A25">
              <w:rPr>
                <w:lang w:val="en-US"/>
              </w:rPr>
              <w:t>GST payable</w:t>
            </w:r>
          </w:p>
        </w:tc>
        <w:tc>
          <w:tcPr>
            <w:cnfStyle w:val="000001000000" w:firstRow="0" w:lastRow="0" w:firstColumn="0" w:lastColumn="0" w:oddVBand="0" w:evenVBand="1" w:oddHBand="0" w:evenHBand="0" w:firstRowFirstColumn="0" w:firstRowLastColumn="0" w:lastRowFirstColumn="0" w:lastRowLastColumn="0"/>
            <w:tcW w:w="1761" w:type="dxa"/>
            <w:shd w:val="clear" w:color="auto" w:fill="F2F2F2" w:themeFill="background1" w:themeFillShade="F2"/>
          </w:tcPr>
          <w:p w14:paraId="6A5C9B6C" w14:textId="77777777" w:rsidR="005D72AE" w:rsidRPr="00844A25" w:rsidRDefault="005D72AE" w:rsidP="00FA2A1A">
            <w:pPr>
              <w:rPr>
                <w:lang w:val="en-US"/>
              </w:rPr>
            </w:pPr>
            <w:r w:rsidRPr="00844A25">
              <w:rPr>
                <w:lang w:val="en-US"/>
              </w:rPr>
              <w:t>65,976</w:t>
            </w:r>
          </w:p>
        </w:tc>
        <w:tc>
          <w:tcPr>
            <w:cnfStyle w:val="000010000000" w:firstRow="0" w:lastRow="0" w:firstColumn="0" w:lastColumn="0" w:oddVBand="1" w:evenVBand="0" w:oddHBand="0" w:evenHBand="0" w:firstRowFirstColumn="0" w:firstRowLastColumn="0" w:lastRowFirstColumn="0" w:lastRowLastColumn="0"/>
            <w:tcW w:w="1921" w:type="dxa"/>
          </w:tcPr>
          <w:p w14:paraId="7DC35B11" w14:textId="77777777" w:rsidR="005D72AE" w:rsidRPr="00844A25" w:rsidRDefault="005D72AE" w:rsidP="00FA2A1A">
            <w:pPr>
              <w:rPr>
                <w:lang w:val="en-US"/>
              </w:rPr>
            </w:pPr>
            <w:r w:rsidRPr="00844A25">
              <w:rPr>
                <w:lang w:val="en-US"/>
              </w:rPr>
              <w:t>-</w:t>
            </w:r>
          </w:p>
        </w:tc>
      </w:tr>
      <w:tr w:rsidR="005D72AE" w:rsidRPr="00844A25" w14:paraId="465F8742" w14:textId="77777777" w:rsidTr="00FA2A1A">
        <w:trPr>
          <w:trHeight w:val="255"/>
        </w:trPr>
        <w:tc>
          <w:tcPr>
            <w:cnfStyle w:val="000010000000" w:firstRow="0" w:lastRow="0" w:firstColumn="0" w:lastColumn="0" w:oddVBand="1" w:evenVBand="0" w:oddHBand="0" w:evenHBand="0" w:firstRowFirstColumn="0" w:firstRowLastColumn="0" w:lastRowFirstColumn="0" w:lastRowLastColumn="0"/>
            <w:tcW w:w="5719" w:type="dxa"/>
          </w:tcPr>
          <w:p w14:paraId="1C684692" w14:textId="77777777" w:rsidR="005D72AE" w:rsidRPr="005C59A6" w:rsidRDefault="005D72AE" w:rsidP="00FA2A1A">
            <w:pPr>
              <w:rPr>
                <w:b/>
                <w:bCs/>
                <w:lang w:val="en-US"/>
              </w:rPr>
            </w:pPr>
            <w:r w:rsidRPr="005C59A6">
              <w:rPr>
                <w:b/>
                <w:bCs/>
                <w:lang w:val="en-US"/>
              </w:rPr>
              <w:t>Total administered liabilities</w:t>
            </w:r>
          </w:p>
        </w:tc>
        <w:tc>
          <w:tcPr>
            <w:cnfStyle w:val="000001000000" w:firstRow="0" w:lastRow="0" w:firstColumn="0" w:lastColumn="0" w:oddVBand="0" w:evenVBand="1" w:oddHBand="0" w:evenHBand="0" w:firstRowFirstColumn="0" w:firstRowLastColumn="0" w:lastRowFirstColumn="0" w:lastRowLastColumn="0"/>
            <w:tcW w:w="1761" w:type="dxa"/>
            <w:shd w:val="clear" w:color="auto" w:fill="F2F2F2" w:themeFill="background1" w:themeFillShade="F2"/>
          </w:tcPr>
          <w:p w14:paraId="676813D2" w14:textId="77777777" w:rsidR="005D72AE" w:rsidRPr="005C59A6" w:rsidRDefault="005D72AE" w:rsidP="00FA2A1A">
            <w:pPr>
              <w:rPr>
                <w:b/>
                <w:bCs/>
                <w:lang w:val="en-US"/>
              </w:rPr>
            </w:pPr>
            <w:r w:rsidRPr="005C59A6">
              <w:rPr>
                <w:b/>
                <w:bCs/>
                <w:lang w:val="en-US"/>
              </w:rPr>
              <w:t>65,976</w:t>
            </w:r>
          </w:p>
        </w:tc>
        <w:tc>
          <w:tcPr>
            <w:cnfStyle w:val="000010000000" w:firstRow="0" w:lastRow="0" w:firstColumn="0" w:lastColumn="0" w:oddVBand="1" w:evenVBand="0" w:oddHBand="0" w:evenHBand="0" w:firstRowFirstColumn="0" w:firstRowLastColumn="0" w:lastRowFirstColumn="0" w:lastRowLastColumn="0"/>
            <w:tcW w:w="1921" w:type="dxa"/>
          </w:tcPr>
          <w:p w14:paraId="1ECD55C1" w14:textId="77777777" w:rsidR="005D72AE" w:rsidRPr="005C59A6" w:rsidRDefault="005D72AE" w:rsidP="00FA2A1A">
            <w:pPr>
              <w:rPr>
                <w:b/>
                <w:bCs/>
                <w:lang w:val="en-US"/>
              </w:rPr>
            </w:pPr>
            <w:r w:rsidRPr="005C59A6">
              <w:rPr>
                <w:b/>
                <w:bCs/>
                <w:lang w:val="en-US"/>
              </w:rPr>
              <w:t>-</w:t>
            </w:r>
          </w:p>
        </w:tc>
      </w:tr>
      <w:tr w:rsidR="005D72AE" w:rsidRPr="00844A25" w14:paraId="5553EAD1" w14:textId="77777777" w:rsidTr="00FA2A1A">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5719" w:type="dxa"/>
          </w:tcPr>
          <w:p w14:paraId="59D4C704" w14:textId="77777777" w:rsidR="005D72AE" w:rsidRPr="00844A25"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1761" w:type="dxa"/>
            <w:shd w:val="clear" w:color="auto" w:fill="F2F2F2" w:themeFill="background1" w:themeFillShade="F2"/>
          </w:tcPr>
          <w:p w14:paraId="52E3CEB3"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921" w:type="dxa"/>
          </w:tcPr>
          <w:p w14:paraId="087D9899" w14:textId="77777777" w:rsidR="005D72AE" w:rsidRPr="00844A25" w:rsidRDefault="005D72AE" w:rsidP="00FA2A1A">
            <w:pPr>
              <w:rPr>
                <w:lang w:val="en-GB"/>
              </w:rPr>
            </w:pPr>
          </w:p>
        </w:tc>
      </w:tr>
      <w:tr w:rsidR="005D72AE" w:rsidRPr="00844A25" w14:paraId="3A64EF66" w14:textId="77777777" w:rsidTr="00FA2A1A">
        <w:trPr>
          <w:trHeight w:val="255"/>
        </w:trPr>
        <w:tc>
          <w:tcPr>
            <w:cnfStyle w:val="000010000000" w:firstRow="0" w:lastRow="0" w:firstColumn="0" w:lastColumn="0" w:oddVBand="1" w:evenVBand="0" w:oddHBand="0" w:evenHBand="0" w:firstRowFirstColumn="0" w:firstRowLastColumn="0" w:lastRowFirstColumn="0" w:lastRowLastColumn="0"/>
            <w:tcW w:w="5719" w:type="dxa"/>
          </w:tcPr>
          <w:p w14:paraId="0F642779" w14:textId="77777777" w:rsidR="005D72AE" w:rsidRPr="005C59A6" w:rsidRDefault="005D72AE" w:rsidP="00FA2A1A">
            <w:pPr>
              <w:rPr>
                <w:b/>
                <w:bCs/>
                <w:lang w:val="en-US"/>
              </w:rPr>
            </w:pPr>
            <w:r w:rsidRPr="005C59A6">
              <w:rPr>
                <w:b/>
                <w:bCs/>
                <w:lang w:val="en-US"/>
              </w:rPr>
              <w:t>Administered net assets</w:t>
            </w:r>
          </w:p>
        </w:tc>
        <w:tc>
          <w:tcPr>
            <w:cnfStyle w:val="000001000000" w:firstRow="0" w:lastRow="0" w:firstColumn="0" w:lastColumn="0" w:oddVBand="0" w:evenVBand="1" w:oddHBand="0" w:evenHBand="0" w:firstRowFirstColumn="0" w:firstRowLastColumn="0" w:lastRowFirstColumn="0" w:lastRowLastColumn="0"/>
            <w:tcW w:w="1761" w:type="dxa"/>
            <w:shd w:val="clear" w:color="auto" w:fill="F2F2F2" w:themeFill="background1" w:themeFillShade="F2"/>
          </w:tcPr>
          <w:p w14:paraId="104B14BE" w14:textId="77777777" w:rsidR="005D72AE" w:rsidRPr="005C59A6" w:rsidRDefault="005D72AE" w:rsidP="00FA2A1A">
            <w:pPr>
              <w:rPr>
                <w:b/>
                <w:bCs/>
                <w:lang w:val="en-US"/>
              </w:rPr>
            </w:pPr>
            <w:r w:rsidRPr="005C59A6">
              <w:rPr>
                <w:b/>
                <w:bCs/>
                <w:lang w:val="en-US"/>
              </w:rPr>
              <w:t>15,480,838</w:t>
            </w:r>
          </w:p>
        </w:tc>
        <w:tc>
          <w:tcPr>
            <w:cnfStyle w:val="000010000000" w:firstRow="0" w:lastRow="0" w:firstColumn="0" w:lastColumn="0" w:oddVBand="1" w:evenVBand="0" w:oddHBand="0" w:evenHBand="0" w:firstRowFirstColumn="0" w:firstRowLastColumn="0" w:lastRowFirstColumn="0" w:lastRowLastColumn="0"/>
            <w:tcW w:w="1921" w:type="dxa"/>
          </w:tcPr>
          <w:p w14:paraId="2B6770F3" w14:textId="77777777" w:rsidR="005D72AE" w:rsidRPr="005C59A6" w:rsidRDefault="005D72AE" w:rsidP="00FA2A1A">
            <w:pPr>
              <w:rPr>
                <w:b/>
                <w:bCs/>
                <w:lang w:val="en-US"/>
              </w:rPr>
            </w:pPr>
            <w:r w:rsidRPr="005C59A6">
              <w:rPr>
                <w:b/>
                <w:bCs/>
                <w:lang w:val="en-US"/>
              </w:rPr>
              <w:t>9,185,870</w:t>
            </w:r>
          </w:p>
        </w:tc>
      </w:tr>
    </w:tbl>
    <w:p w14:paraId="4D40DCB8" w14:textId="77777777" w:rsidR="005D72AE" w:rsidRPr="00844A25" w:rsidRDefault="005D72AE" w:rsidP="005D72AE">
      <w:pPr>
        <w:rPr>
          <w:lang w:val="en-US"/>
        </w:rPr>
      </w:pPr>
      <w:r w:rsidRPr="00844A25">
        <w:rPr>
          <w:lang w:val="en-US"/>
        </w:rPr>
        <w:t>The impact of initially applying AASB 1058 on the commission’s licence and other fees is described in Note 9.2.3. Due to the modified retrospective transition method chosen in applying AASB 1058, comparative information has not been restated to reflect the new requirements. The adoption of AASB 1058 did not have an impact on comprehensive operating statement and the cash flow statement for the financial year.</w:t>
      </w:r>
    </w:p>
    <w:p w14:paraId="4C604F51" w14:textId="77777777" w:rsidR="005D72AE" w:rsidRDefault="005D72AE" w:rsidP="005D72AE">
      <w:pPr>
        <w:pStyle w:val="Heading2"/>
      </w:pPr>
      <w:bookmarkStart w:id="13" w:name="_Toc58838600"/>
      <w:bookmarkStart w:id="14" w:name="_Toc58838735"/>
      <w:bookmarkStart w:id="15" w:name="_Toc58869007"/>
      <w:r w:rsidRPr="00844A25">
        <w:t>Note 5. Key assets available to support delivery of services</w:t>
      </w:r>
      <w:bookmarkEnd w:id="13"/>
      <w:bookmarkEnd w:id="14"/>
      <w:bookmarkEnd w:id="15"/>
    </w:p>
    <w:p w14:paraId="25CFB36A" w14:textId="77777777" w:rsidR="005D72AE" w:rsidRDefault="005D72AE" w:rsidP="005D72AE">
      <w:pPr>
        <w:rPr>
          <w:lang w:val="en-US"/>
        </w:rPr>
      </w:pPr>
      <w:r w:rsidRPr="00844A25">
        <w:rPr>
          <w:lang w:val="en-US"/>
        </w:rPr>
        <w:t>The commission controls property plant and equipment that are utilised in fulfilling its objectives and conducting its activities. They represent the key resources that have been entrusted to the commission to be utilised</w:t>
      </w:r>
      <w:r>
        <w:rPr>
          <w:lang w:val="en-US"/>
        </w:rPr>
        <w:t xml:space="preserve"> </w:t>
      </w:r>
      <w:r w:rsidRPr="00844A25">
        <w:rPr>
          <w:lang w:val="en-US"/>
        </w:rPr>
        <w:t>for delivery of services.</w:t>
      </w:r>
    </w:p>
    <w:p w14:paraId="2C22ACF2" w14:textId="77777777" w:rsidR="005D72AE" w:rsidRPr="00844A25" w:rsidRDefault="005D72AE" w:rsidP="005D72AE">
      <w:pPr>
        <w:rPr>
          <w:lang w:val="en-US"/>
        </w:rPr>
      </w:pPr>
      <w:r w:rsidRPr="00844A25">
        <w:rPr>
          <w:lang w:val="en-US"/>
        </w:rPr>
        <w:t>5.1. Property, plant and equipment:</w:t>
      </w:r>
    </w:p>
    <w:p w14:paraId="495185AC" w14:textId="77777777" w:rsidR="005D72AE" w:rsidRPr="00844A25" w:rsidRDefault="005D72AE" w:rsidP="005D72AE">
      <w:pPr>
        <w:rPr>
          <w:lang w:val="en-US"/>
        </w:rPr>
      </w:pPr>
      <w:r w:rsidRPr="00844A25">
        <w:rPr>
          <w:lang w:val="en-US"/>
        </w:rPr>
        <w:t>5.1.1. Depreciation and amortisation</w:t>
      </w:r>
    </w:p>
    <w:p w14:paraId="5781F571" w14:textId="77777777" w:rsidR="005D72AE" w:rsidRPr="00844A25" w:rsidRDefault="005D72AE" w:rsidP="005D72AE">
      <w:pPr>
        <w:rPr>
          <w:lang w:val="en-US"/>
        </w:rPr>
      </w:pPr>
      <w:r w:rsidRPr="00844A25">
        <w:rPr>
          <w:lang w:val="en-US"/>
        </w:rPr>
        <w:t>5.1.2.</w:t>
      </w:r>
      <w:r>
        <w:rPr>
          <w:lang w:val="en-US"/>
        </w:rPr>
        <w:t xml:space="preserve"> </w:t>
      </w:r>
      <w:r w:rsidRPr="00844A25">
        <w:rPr>
          <w:lang w:val="en-US"/>
        </w:rPr>
        <w:t xml:space="preserve">Reconciliation of movements in carrying values of property, plant and equipment </w:t>
      </w:r>
    </w:p>
    <w:p w14:paraId="2FB1E7B6" w14:textId="77777777" w:rsidR="005D72AE" w:rsidRPr="003B6248" w:rsidRDefault="005D72AE" w:rsidP="005D72AE">
      <w:pPr>
        <w:rPr>
          <w:lang w:val="en-US"/>
        </w:rPr>
      </w:pPr>
      <w:r w:rsidRPr="00844A25">
        <w:rPr>
          <w:lang w:val="en-US"/>
        </w:rPr>
        <w:t>5.2. Intangible assets</w:t>
      </w:r>
    </w:p>
    <w:p w14:paraId="57130E07" w14:textId="77777777" w:rsidR="005D72AE" w:rsidRPr="00844A25" w:rsidRDefault="005D72AE" w:rsidP="005D72AE">
      <w:pPr>
        <w:pStyle w:val="Heading3"/>
      </w:pPr>
      <w:r w:rsidRPr="00844A25">
        <w:t xml:space="preserve">5.1. Property, plant and equipment </w:t>
      </w:r>
      <w:r w:rsidRPr="00844A25">
        <w:rPr>
          <w:vertAlign w:val="superscript"/>
        </w:rPr>
        <w:t>(a)</w:t>
      </w:r>
    </w:p>
    <w:tbl>
      <w:tblPr>
        <w:tblStyle w:val="PlainTable2"/>
        <w:tblW w:w="9351" w:type="dxa"/>
        <w:tblLayout w:type="fixed"/>
        <w:tblLook w:val="0000" w:firstRow="0" w:lastRow="0" w:firstColumn="0" w:lastColumn="0" w:noHBand="0" w:noVBand="0"/>
      </w:tblPr>
      <w:tblGrid>
        <w:gridCol w:w="2405"/>
        <w:gridCol w:w="1134"/>
        <w:gridCol w:w="1134"/>
        <w:gridCol w:w="1276"/>
        <w:gridCol w:w="1119"/>
        <w:gridCol w:w="1149"/>
        <w:gridCol w:w="1134"/>
      </w:tblGrid>
      <w:tr w:rsidR="005D72AE" w:rsidRPr="00844A25" w14:paraId="35EFBCFC" w14:textId="77777777" w:rsidTr="00FA2A1A">
        <w:trPr>
          <w:cnfStyle w:val="000000100000" w:firstRow="0" w:lastRow="0" w:firstColumn="0" w:lastColumn="0" w:oddVBand="0" w:evenVBand="0" w:oddHBand="1"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2405" w:type="dxa"/>
          </w:tcPr>
          <w:p w14:paraId="110E0560" w14:textId="77777777" w:rsidR="005D72AE" w:rsidRPr="007D3625"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2268" w:type="dxa"/>
            <w:gridSpan w:val="2"/>
          </w:tcPr>
          <w:p w14:paraId="61F0FDC1" w14:textId="77777777" w:rsidR="005D72AE" w:rsidRPr="007D3625" w:rsidRDefault="005D72AE" w:rsidP="00FA2A1A">
            <w:pPr>
              <w:rPr>
                <w:b/>
                <w:bCs/>
                <w:lang w:val="en-US"/>
              </w:rPr>
            </w:pPr>
            <w:r w:rsidRPr="007D3625">
              <w:rPr>
                <w:b/>
                <w:bCs/>
                <w:lang w:val="en-US"/>
              </w:rPr>
              <w:t>Gross carrying amount</w:t>
            </w:r>
          </w:p>
        </w:tc>
        <w:tc>
          <w:tcPr>
            <w:cnfStyle w:val="000010000000" w:firstRow="0" w:lastRow="0" w:firstColumn="0" w:lastColumn="0" w:oddVBand="1" w:evenVBand="0" w:oddHBand="0" w:evenHBand="0" w:firstRowFirstColumn="0" w:firstRowLastColumn="0" w:lastRowFirstColumn="0" w:lastRowLastColumn="0"/>
            <w:tcW w:w="2395" w:type="dxa"/>
            <w:gridSpan w:val="2"/>
          </w:tcPr>
          <w:p w14:paraId="7543B2B2" w14:textId="77777777" w:rsidR="005D72AE" w:rsidRPr="007D3625" w:rsidRDefault="005D72AE" w:rsidP="00FA2A1A">
            <w:pPr>
              <w:rPr>
                <w:b/>
                <w:bCs/>
                <w:lang w:val="en-US"/>
              </w:rPr>
            </w:pPr>
            <w:r w:rsidRPr="007D3625">
              <w:rPr>
                <w:b/>
                <w:bCs/>
                <w:lang w:val="en-US"/>
              </w:rPr>
              <w:t>Accumulated depreciation</w:t>
            </w:r>
          </w:p>
        </w:tc>
        <w:tc>
          <w:tcPr>
            <w:cnfStyle w:val="000001000000" w:firstRow="0" w:lastRow="0" w:firstColumn="0" w:lastColumn="0" w:oddVBand="0" w:evenVBand="1" w:oddHBand="0" w:evenHBand="0" w:firstRowFirstColumn="0" w:firstRowLastColumn="0" w:lastRowFirstColumn="0" w:lastRowLastColumn="0"/>
            <w:tcW w:w="2283" w:type="dxa"/>
            <w:gridSpan w:val="2"/>
          </w:tcPr>
          <w:p w14:paraId="412B51D9" w14:textId="77777777" w:rsidR="005D72AE" w:rsidRPr="007D3625" w:rsidRDefault="005D72AE" w:rsidP="00FA2A1A">
            <w:pPr>
              <w:rPr>
                <w:b/>
                <w:bCs/>
                <w:lang w:val="en-US"/>
              </w:rPr>
            </w:pPr>
            <w:r w:rsidRPr="007D3625">
              <w:rPr>
                <w:b/>
                <w:bCs/>
                <w:lang w:val="en-US"/>
              </w:rPr>
              <w:t>Net carrying amount</w:t>
            </w:r>
          </w:p>
        </w:tc>
      </w:tr>
      <w:tr w:rsidR="005D72AE" w:rsidRPr="00844A25" w14:paraId="05EBDF02" w14:textId="77777777" w:rsidTr="00FA2A1A">
        <w:trPr>
          <w:trHeight w:val="365"/>
        </w:trPr>
        <w:tc>
          <w:tcPr>
            <w:cnfStyle w:val="000010000000" w:firstRow="0" w:lastRow="0" w:firstColumn="0" w:lastColumn="0" w:oddVBand="1" w:evenVBand="0" w:oddHBand="0" w:evenHBand="0" w:firstRowFirstColumn="0" w:firstRowLastColumn="0" w:lastRowFirstColumn="0" w:lastRowLastColumn="0"/>
            <w:tcW w:w="2405" w:type="dxa"/>
          </w:tcPr>
          <w:p w14:paraId="4931F081" w14:textId="77777777" w:rsidR="005D72AE" w:rsidRPr="007D3625" w:rsidRDefault="005D72AE" w:rsidP="00FA2A1A">
            <w:pPr>
              <w:rPr>
                <w:b/>
                <w:bCs/>
                <w:lang w:val="en-US"/>
              </w:rPr>
            </w:pPr>
            <w:r w:rsidRPr="007D3625">
              <w:rPr>
                <w:b/>
                <w:bCs/>
                <w:lang w:val="en-US"/>
              </w:rPr>
              <w:t> </w:t>
            </w:r>
          </w:p>
        </w:tc>
        <w:tc>
          <w:tcPr>
            <w:cnfStyle w:val="000001000000" w:firstRow="0" w:lastRow="0" w:firstColumn="0" w:lastColumn="0" w:oddVBand="0" w:evenVBand="1" w:oddHBand="0" w:evenHBand="0" w:firstRowFirstColumn="0" w:firstRowLastColumn="0" w:lastRowFirstColumn="0" w:lastRowLastColumn="0"/>
            <w:tcW w:w="1134" w:type="dxa"/>
            <w:shd w:val="clear" w:color="auto" w:fill="F2F2F2" w:themeFill="background1" w:themeFillShade="F2"/>
          </w:tcPr>
          <w:p w14:paraId="1BE4605A" w14:textId="77777777" w:rsidR="005D72AE" w:rsidRPr="007D3625" w:rsidRDefault="005D72AE" w:rsidP="00FA2A1A">
            <w:pPr>
              <w:rPr>
                <w:b/>
                <w:bCs/>
                <w:lang w:val="en-US"/>
              </w:rPr>
            </w:pPr>
            <w:r w:rsidRPr="007D3625">
              <w:rPr>
                <w:b/>
                <w:bCs/>
                <w:lang w:val="en-US"/>
              </w:rPr>
              <w:t>2020</w:t>
            </w:r>
          </w:p>
        </w:tc>
        <w:tc>
          <w:tcPr>
            <w:cnfStyle w:val="000010000000" w:firstRow="0" w:lastRow="0" w:firstColumn="0" w:lastColumn="0" w:oddVBand="1" w:evenVBand="0" w:oddHBand="0" w:evenHBand="0" w:firstRowFirstColumn="0" w:firstRowLastColumn="0" w:lastRowFirstColumn="0" w:lastRowLastColumn="0"/>
            <w:tcW w:w="1134" w:type="dxa"/>
          </w:tcPr>
          <w:p w14:paraId="23512E38" w14:textId="77777777" w:rsidR="005D72AE" w:rsidRPr="007D3625" w:rsidRDefault="005D72AE" w:rsidP="00FA2A1A">
            <w:pPr>
              <w:rPr>
                <w:b/>
                <w:bCs/>
                <w:lang w:val="en-US"/>
              </w:rPr>
            </w:pPr>
            <w:r w:rsidRPr="007D3625">
              <w:rPr>
                <w:b/>
                <w:bCs/>
                <w:lang w:val="en-US"/>
              </w:rPr>
              <w:t>2019</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F2F2F2" w:themeFill="background1" w:themeFillShade="F2"/>
          </w:tcPr>
          <w:p w14:paraId="7C66E5CB" w14:textId="77777777" w:rsidR="005D72AE" w:rsidRPr="007D3625" w:rsidRDefault="005D72AE" w:rsidP="00FA2A1A">
            <w:pPr>
              <w:rPr>
                <w:b/>
                <w:bCs/>
                <w:lang w:val="en-US"/>
              </w:rPr>
            </w:pPr>
            <w:r w:rsidRPr="007D3625">
              <w:rPr>
                <w:b/>
                <w:bCs/>
                <w:lang w:val="en-US"/>
              </w:rPr>
              <w:t>2020</w:t>
            </w:r>
          </w:p>
        </w:tc>
        <w:tc>
          <w:tcPr>
            <w:cnfStyle w:val="000010000000" w:firstRow="0" w:lastRow="0" w:firstColumn="0" w:lastColumn="0" w:oddVBand="1" w:evenVBand="0" w:oddHBand="0" w:evenHBand="0" w:firstRowFirstColumn="0" w:firstRowLastColumn="0" w:lastRowFirstColumn="0" w:lastRowLastColumn="0"/>
            <w:tcW w:w="1119" w:type="dxa"/>
          </w:tcPr>
          <w:p w14:paraId="128A9994" w14:textId="77777777" w:rsidR="005D72AE" w:rsidRPr="007D3625" w:rsidRDefault="005D72AE" w:rsidP="00FA2A1A">
            <w:pPr>
              <w:rPr>
                <w:b/>
                <w:bCs/>
                <w:lang w:val="en-US"/>
              </w:rPr>
            </w:pPr>
            <w:r w:rsidRPr="007D3625">
              <w:rPr>
                <w:b/>
                <w:bCs/>
                <w:lang w:val="en-US"/>
              </w:rPr>
              <w:t>2019</w:t>
            </w:r>
          </w:p>
        </w:tc>
        <w:tc>
          <w:tcPr>
            <w:cnfStyle w:val="000001000000" w:firstRow="0" w:lastRow="0" w:firstColumn="0" w:lastColumn="0" w:oddVBand="0" w:evenVBand="1" w:oddHBand="0" w:evenHBand="0" w:firstRowFirstColumn="0" w:firstRowLastColumn="0" w:lastRowFirstColumn="0" w:lastRowLastColumn="0"/>
            <w:tcW w:w="1149" w:type="dxa"/>
            <w:shd w:val="clear" w:color="auto" w:fill="F2F2F2" w:themeFill="background1" w:themeFillShade="F2"/>
          </w:tcPr>
          <w:p w14:paraId="6A328DEB" w14:textId="77777777" w:rsidR="005D72AE" w:rsidRPr="007D3625" w:rsidRDefault="005D72AE" w:rsidP="00FA2A1A">
            <w:pPr>
              <w:rPr>
                <w:b/>
                <w:bCs/>
                <w:lang w:val="en-US"/>
              </w:rPr>
            </w:pPr>
            <w:r w:rsidRPr="007D3625">
              <w:rPr>
                <w:b/>
                <w:bCs/>
                <w:lang w:val="en-US"/>
              </w:rPr>
              <w:t>2020</w:t>
            </w:r>
          </w:p>
        </w:tc>
        <w:tc>
          <w:tcPr>
            <w:cnfStyle w:val="000010000000" w:firstRow="0" w:lastRow="0" w:firstColumn="0" w:lastColumn="0" w:oddVBand="1" w:evenVBand="0" w:oddHBand="0" w:evenHBand="0" w:firstRowFirstColumn="0" w:firstRowLastColumn="0" w:lastRowFirstColumn="0" w:lastRowLastColumn="0"/>
            <w:tcW w:w="1134" w:type="dxa"/>
          </w:tcPr>
          <w:p w14:paraId="307B5154" w14:textId="77777777" w:rsidR="005D72AE" w:rsidRPr="007D3625" w:rsidRDefault="005D72AE" w:rsidP="00FA2A1A">
            <w:pPr>
              <w:rPr>
                <w:b/>
                <w:bCs/>
                <w:lang w:val="en-US"/>
              </w:rPr>
            </w:pPr>
            <w:r w:rsidRPr="007D3625">
              <w:rPr>
                <w:b/>
                <w:bCs/>
                <w:lang w:val="en-US"/>
              </w:rPr>
              <w:t>2019</w:t>
            </w:r>
          </w:p>
        </w:tc>
      </w:tr>
      <w:tr w:rsidR="005D72AE" w:rsidRPr="00844A25" w14:paraId="3BC4825C" w14:textId="77777777" w:rsidTr="00FA2A1A">
        <w:trPr>
          <w:cnfStyle w:val="000000100000" w:firstRow="0" w:lastRow="0" w:firstColumn="0" w:lastColumn="0" w:oddVBand="0" w:evenVBand="0" w:oddHBand="1"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2405" w:type="dxa"/>
          </w:tcPr>
          <w:p w14:paraId="44D6FAE3" w14:textId="77777777" w:rsidR="005D72AE" w:rsidRPr="007D3625"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134" w:type="dxa"/>
            <w:shd w:val="clear" w:color="auto" w:fill="F2F2F2" w:themeFill="background1" w:themeFillShade="F2"/>
          </w:tcPr>
          <w:p w14:paraId="0663A1EC" w14:textId="77777777" w:rsidR="005D72AE" w:rsidRPr="007D3625" w:rsidRDefault="005D72AE" w:rsidP="00FA2A1A">
            <w:pPr>
              <w:rPr>
                <w:b/>
                <w:bCs/>
                <w:lang w:val="en-US"/>
              </w:rPr>
            </w:pPr>
            <w:r w:rsidRPr="007D3625">
              <w:rPr>
                <w:b/>
                <w:bCs/>
                <w:lang w:val="en-US"/>
              </w:rPr>
              <w:t>$</w:t>
            </w:r>
          </w:p>
        </w:tc>
        <w:tc>
          <w:tcPr>
            <w:cnfStyle w:val="000010000000" w:firstRow="0" w:lastRow="0" w:firstColumn="0" w:lastColumn="0" w:oddVBand="1" w:evenVBand="0" w:oddHBand="0" w:evenHBand="0" w:firstRowFirstColumn="0" w:firstRowLastColumn="0" w:lastRowFirstColumn="0" w:lastRowLastColumn="0"/>
            <w:tcW w:w="1134" w:type="dxa"/>
          </w:tcPr>
          <w:p w14:paraId="37478AD7" w14:textId="77777777" w:rsidR="005D72AE" w:rsidRPr="007D3625" w:rsidRDefault="005D72AE" w:rsidP="00FA2A1A">
            <w:pPr>
              <w:rPr>
                <w:b/>
                <w:bCs/>
                <w:lang w:val="en-US"/>
              </w:rPr>
            </w:pPr>
            <w:r w:rsidRPr="007D3625">
              <w:rPr>
                <w:b/>
                <w:bCs/>
                <w:lang w:val="en-US"/>
              </w:rPr>
              <w:t>$</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F2F2F2" w:themeFill="background1" w:themeFillShade="F2"/>
          </w:tcPr>
          <w:p w14:paraId="4EA6251C" w14:textId="77777777" w:rsidR="005D72AE" w:rsidRPr="007D3625" w:rsidRDefault="005D72AE" w:rsidP="00FA2A1A">
            <w:pPr>
              <w:rPr>
                <w:b/>
                <w:bCs/>
                <w:lang w:val="en-US"/>
              </w:rPr>
            </w:pPr>
            <w:r w:rsidRPr="007D3625">
              <w:rPr>
                <w:b/>
                <w:bCs/>
                <w:lang w:val="en-US"/>
              </w:rPr>
              <w:t>$</w:t>
            </w:r>
          </w:p>
        </w:tc>
        <w:tc>
          <w:tcPr>
            <w:cnfStyle w:val="000010000000" w:firstRow="0" w:lastRow="0" w:firstColumn="0" w:lastColumn="0" w:oddVBand="1" w:evenVBand="0" w:oddHBand="0" w:evenHBand="0" w:firstRowFirstColumn="0" w:firstRowLastColumn="0" w:lastRowFirstColumn="0" w:lastRowLastColumn="0"/>
            <w:tcW w:w="1119" w:type="dxa"/>
          </w:tcPr>
          <w:p w14:paraId="56EA7631" w14:textId="77777777" w:rsidR="005D72AE" w:rsidRPr="007D3625" w:rsidRDefault="005D72AE" w:rsidP="00FA2A1A">
            <w:pPr>
              <w:rPr>
                <w:b/>
                <w:bCs/>
                <w:lang w:val="en-US"/>
              </w:rPr>
            </w:pPr>
            <w:r w:rsidRPr="007D3625">
              <w:rPr>
                <w:b/>
                <w:bCs/>
                <w:lang w:val="en-US"/>
              </w:rPr>
              <w:t>$</w:t>
            </w:r>
          </w:p>
        </w:tc>
        <w:tc>
          <w:tcPr>
            <w:cnfStyle w:val="000001000000" w:firstRow="0" w:lastRow="0" w:firstColumn="0" w:lastColumn="0" w:oddVBand="0" w:evenVBand="1" w:oddHBand="0" w:evenHBand="0" w:firstRowFirstColumn="0" w:firstRowLastColumn="0" w:lastRowFirstColumn="0" w:lastRowLastColumn="0"/>
            <w:tcW w:w="1149" w:type="dxa"/>
            <w:shd w:val="clear" w:color="auto" w:fill="F2F2F2" w:themeFill="background1" w:themeFillShade="F2"/>
          </w:tcPr>
          <w:p w14:paraId="7BC51987" w14:textId="77777777" w:rsidR="005D72AE" w:rsidRPr="007D3625" w:rsidRDefault="005D72AE" w:rsidP="00FA2A1A">
            <w:pPr>
              <w:rPr>
                <w:b/>
                <w:bCs/>
                <w:lang w:val="en-US"/>
              </w:rPr>
            </w:pPr>
            <w:r w:rsidRPr="007D3625">
              <w:rPr>
                <w:b/>
                <w:bCs/>
                <w:lang w:val="en-US"/>
              </w:rPr>
              <w:t>$</w:t>
            </w:r>
          </w:p>
        </w:tc>
        <w:tc>
          <w:tcPr>
            <w:cnfStyle w:val="000010000000" w:firstRow="0" w:lastRow="0" w:firstColumn="0" w:lastColumn="0" w:oddVBand="1" w:evenVBand="0" w:oddHBand="0" w:evenHBand="0" w:firstRowFirstColumn="0" w:firstRowLastColumn="0" w:lastRowFirstColumn="0" w:lastRowLastColumn="0"/>
            <w:tcW w:w="1134" w:type="dxa"/>
          </w:tcPr>
          <w:p w14:paraId="5371472E" w14:textId="77777777" w:rsidR="005D72AE" w:rsidRPr="007D3625" w:rsidRDefault="005D72AE" w:rsidP="00FA2A1A">
            <w:pPr>
              <w:rPr>
                <w:b/>
                <w:bCs/>
                <w:lang w:val="en-US"/>
              </w:rPr>
            </w:pPr>
            <w:r w:rsidRPr="007D3625">
              <w:rPr>
                <w:b/>
                <w:bCs/>
                <w:lang w:val="en-US"/>
              </w:rPr>
              <w:t>$</w:t>
            </w:r>
          </w:p>
        </w:tc>
      </w:tr>
      <w:tr w:rsidR="005D72AE" w:rsidRPr="00844A25" w14:paraId="6349546A" w14:textId="77777777" w:rsidTr="00FA2A1A">
        <w:trPr>
          <w:trHeight w:val="365"/>
        </w:trPr>
        <w:tc>
          <w:tcPr>
            <w:cnfStyle w:val="000010000000" w:firstRow="0" w:lastRow="0" w:firstColumn="0" w:lastColumn="0" w:oddVBand="1" w:evenVBand="0" w:oddHBand="0" w:evenHBand="0" w:firstRowFirstColumn="0" w:firstRowLastColumn="0" w:lastRowFirstColumn="0" w:lastRowLastColumn="0"/>
            <w:tcW w:w="2405" w:type="dxa"/>
          </w:tcPr>
          <w:p w14:paraId="7CC9C44E" w14:textId="77777777" w:rsidR="005D72AE" w:rsidRPr="00844A25" w:rsidRDefault="005D72AE" w:rsidP="00FA2A1A">
            <w:pPr>
              <w:rPr>
                <w:lang w:val="en-US"/>
              </w:rPr>
            </w:pPr>
            <w:r w:rsidRPr="00844A25">
              <w:rPr>
                <w:lang w:val="en-US"/>
              </w:rPr>
              <w:t>Leasehold improvements</w:t>
            </w:r>
          </w:p>
        </w:tc>
        <w:tc>
          <w:tcPr>
            <w:cnfStyle w:val="000001000000" w:firstRow="0" w:lastRow="0" w:firstColumn="0" w:lastColumn="0" w:oddVBand="0" w:evenVBand="1" w:oddHBand="0" w:evenHBand="0" w:firstRowFirstColumn="0" w:firstRowLastColumn="0" w:lastRowFirstColumn="0" w:lastRowLastColumn="0"/>
            <w:tcW w:w="1134" w:type="dxa"/>
            <w:shd w:val="clear" w:color="auto" w:fill="F2F2F2" w:themeFill="background1" w:themeFillShade="F2"/>
          </w:tcPr>
          <w:p w14:paraId="637CF013" w14:textId="77777777" w:rsidR="005D72AE" w:rsidRPr="00844A25" w:rsidRDefault="005D72AE" w:rsidP="00FA2A1A">
            <w:pPr>
              <w:rPr>
                <w:lang w:val="en-US"/>
              </w:rPr>
            </w:pPr>
            <w:r w:rsidRPr="00844A25">
              <w:rPr>
                <w:lang w:val="en-US"/>
              </w:rPr>
              <w:t>131,061</w:t>
            </w:r>
          </w:p>
        </w:tc>
        <w:tc>
          <w:tcPr>
            <w:cnfStyle w:val="000010000000" w:firstRow="0" w:lastRow="0" w:firstColumn="0" w:lastColumn="0" w:oddVBand="1" w:evenVBand="0" w:oddHBand="0" w:evenHBand="0" w:firstRowFirstColumn="0" w:firstRowLastColumn="0" w:lastRowFirstColumn="0" w:lastRowLastColumn="0"/>
            <w:tcW w:w="1134" w:type="dxa"/>
          </w:tcPr>
          <w:p w14:paraId="4B12FFF7" w14:textId="77777777" w:rsidR="005D72AE" w:rsidRPr="00844A25" w:rsidRDefault="005D72AE" w:rsidP="00FA2A1A">
            <w:pPr>
              <w:rPr>
                <w:lang w:val="en-US"/>
              </w:rPr>
            </w:pPr>
            <w:r w:rsidRPr="00844A25">
              <w:rPr>
                <w:lang w:val="en-US"/>
              </w:rPr>
              <w:t>106,470</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F2F2F2" w:themeFill="background1" w:themeFillShade="F2"/>
          </w:tcPr>
          <w:p w14:paraId="32F27242" w14:textId="77777777" w:rsidR="005D72AE" w:rsidRPr="00844A25" w:rsidRDefault="005D72AE" w:rsidP="00FA2A1A">
            <w:pPr>
              <w:rPr>
                <w:lang w:val="en-US"/>
              </w:rPr>
            </w:pPr>
            <w:r w:rsidRPr="00844A25">
              <w:rPr>
                <w:lang w:val="en-US"/>
              </w:rPr>
              <w:t>(70,980)</w:t>
            </w:r>
          </w:p>
        </w:tc>
        <w:tc>
          <w:tcPr>
            <w:cnfStyle w:val="000010000000" w:firstRow="0" w:lastRow="0" w:firstColumn="0" w:lastColumn="0" w:oddVBand="1" w:evenVBand="0" w:oddHBand="0" w:evenHBand="0" w:firstRowFirstColumn="0" w:firstRowLastColumn="0" w:lastRowFirstColumn="0" w:lastRowLastColumn="0"/>
            <w:tcW w:w="1119" w:type="dxa"/>
          </w:tcPr>
          <w:p w14:paraId="1A162B6A" w14:textId="77777777" w:rsidR="005D72AE" w:rsidRPr="00844A25" w:rsidRDefault="005D72AE" w:rsidP="00FA2A1A">
            <w:pPr>
              <w:rPr>
                <w:lang w:val="en-US"/>
              </w:rPr>
            </w:pPr>
            <w:r w:rsidRPr="00844A25">
              <w:rPr>
                <w:lang w:val="en-US"/>
              </w:rPr>
              <w:t>(49,686)</w:t>
            </w:r>
          </w:p>
        </w:tc>
        <w:tc>
          <w:tcPr>
            <w:cnfStyle w:val="000001000000" w:firstRow="0" w:lastRow="0" w:firstColumn="0" w:lastColumn="0" w:oddVBand="0" w:evenVBand="1" w:oddHBand="0" w:evenHBand="0" w:firstRowFirstColumn="0" w:firstRowLastColumn="0" w:lastRowFirstColumn="0" w:lastRowLastColumn="0"/>
            <w:tcW w:w="1149" w:type="dxa"/>
            <w:shd w:val="clear" w:color="auto" w:fill="F2F2F2" w:themeFill="background1" w:themeFillShade="F2"/>
          </w:tcPr>
          <w:p w14:paraId="5F8C4863" w14:textId="77777777" w:rsidR="005D72AE" w:rsidRPr="00844A25" w:rsidRDefault="005D72AE" w:rsidP="00FA2A1A">
            <w:pPr>
              <w:rPr>
                <w:lang w:val="en-US"/>
              </w:rPr>
            </w:pPr>
            <w:r w:rsidRPr="00844A25">
              <w:rPr>
                <w:lang w:val="en-US"/>
              </w:rPr>
              <w:t>60,081</w:t>
            </w:r>
          </w:p>
        </w:tc>
        <w:tc>
          <w:tcPr>
            <w:cnfStyle w:val="000010000000" w:firstRow="0" w:lastRow="0" w:firstColumn="0" w:lastColumn="0" w:oddVBand="1" w:evenVBand="0" w:oddHBand="0" w:evenHBand="0" w:firstRowFirstColumn="0" w:firstRowLastColumn="0" w:lastRowFirstColumn="0" w:lastRowLastColumn="0"/>
            <w:tcW w:w="1134" w:type="dxa"/>
          </w:tcPr>
          <w:p w14:paraId="23C1F7BA" w14:textId="77777777" w:rsidR="005D72AE" w:rsidRPr="00844A25" w:rsidRDefault="005D72AE" w:rsidP="00FA2A1A">
            <w:pPr>
              <w:rPr>
                <w:lang w:val="en-US"/>
              </w:rPr>
            </w:pPr>
            <w:r w:rsidRPr="00844A25">
              <w:rPr>
                <w:lang w:val="en-US"/>
              </w:rPr>
              <w:t>56,784</w:t>
            </w:r>
          </w:p>
        </w:tc>
      </w:tr>
      <w:tr w:rsidR="005D72AE" w:rsidRPr="00844A25" w14:paraId="6CA41E27" w14:textId="77777777" w:rsidTr="00FA2A1A">
        <w:trPr>
          <w:cnfStyle w:val="000000100000" w:firstRow="0" w:lastRow="0" w:firstColumn="0" w:lastColumn="0" w:oddVBand="0" w:evenVBand="0" w:oddHBand="1"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2405" w:type="dxa"/>
          </w:tcPr>
          <w:p w14:paraId="0F38490B" w14:textId="77777777" w:rsidR="005D72AE" w:rsidRPr="00844A25" w:rsidRDefault="005D72AE" w:rsidP="00FA2A1A">
            <w:pPr>
              <w:rPr>
                <w:lang w:val="en-US"/>
              </w:rPr>
            </w:pPr>
            <w:r w:rsidRPr="00844A25">
              <w:rPr>
                <w:lang w:val="en-US"/>
              </w:rPr>
              <w:t>Office and computer equipment</w:t>
            </w:r>
            <w:r>
              <w:rPr>
                <w:lang w:val="en-US"/>
              </w:rPr>
              <w:t xml:space="preserve"> </w:t>
            </w:r>
            <w:r w:rsidRPr="00844A25">
              <w:rPr>
                <w:lang w:val="en-US"/>
              </w:rPr>
              <w:t>at fair value</w:t>
            </w:r>
          </w:p>
        </w:tc>
        <w:tc>
          <w:tcPr>
            <w:cnfStyle w:val="000001000000" w:firstRow="0" w:lastRow="0" w:firstColumn="0" w:lastColumn="0" w:oddVBand="0" w:evenVBand="1" w:oddHBand="0" w:evenHBand="0" w:firstRowFirstColumn="0" w:firstRowLastColumn="0" w:lastRowFirstColumn="0" w:lastRowLastColumn="0"/>
            <w:tcW w:w="1134" w:type="dxa"/>
            <w:shd w:val="clear" w:color="auto" w:fill="F2F2F2" w:themeFill="background1" w:themeFillShade="F2"/>
          </w:tcPr>
          <w:p w14:paraId="7D56D900" w14:textId="77777777" w:rsidR="005D72AE" w:rsidRPr="00844A25" w:rsidRDefault="005D72AE" w:rsidP="00FA2A1A">
            <w:pPr>
              <w:rPr>
                <w:lang w:val="en-US"/>
              </w:rPr>
            </w:pPr>
            <w:r w:rsidRPr="00844A25">
              <w:rPr>
                <w:lang w:val="en-US"/>
              </w:rPr>
              <w:t>36,308</w:t>
            </w:r>
          </w:p>
        </w:tc>
        <w:tc>
          <w:tcPr>
            <w:cnfStyle w:val="000010000000" w:firstRow="0" w:lastRow="0" w:firstColumn="0" w:lastColumn="0" w:oddVBand="1" w:evenVBand="0" w:oddHBand="0" w:evenHBand="0" w:firstRowFirstColumn="0" w:firstRowLastColumn="0" w:lastRowFirstColumn="0" w:lastRowLastColumn="0"/>
            <w:tcW w:w="1134" w:type="dxa"/>
          </w:tcPr>
          <w:p w14:paraId="07CFC313" w14:textId="77777777" w:rsidR="005D72AE" w:rsidRPr="00844A25" w:rsidRDefault="005D72AE" w:rsidP="00FA2A1A">
            <w:pPr>
              <w:rPr>
                <w:lang w:val="en-US"/>
              </w:rPr>
            </w:pPr>
            <w:r w:rsidRPr="00844A25">
              <w:rPr>
                <w:lang w:val="en-US"/>
              </w:rPr>
              <w:t>23,140</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F2F2F2" w:themeFill="background1" w:themeFillShade="F2"/>
          </w:tcPr>
          <w:p w14:paraId="487B5CEF" w14:textId="77777777" w:rsidR="005D72AE" w:rsidRPr="00844A25" w:rsidRDefault="005D72AE" w:rsidP="00FA2A1A">
            <w:pPr>
              <w:rPr>
                <w:lang w:val="en-US"/>
              </w:rPr>
            </w:pPr>
            <w:r w:rsidRPr="00844A25">
              <w:rPr>
                <w:lang w:val="en-US"/>
              </w:rPr>
              <w:t>(24,896)</w:t>
            </w:r>
          </w:p>
        </w:tc>
        <w:tc>
          <w:tcPr>
            <w:cnfStyle w:val="000010000000" w:firstRow="0" w:lastRow="0" w:firstColumn="0" w:lastColumn="0" w:oddVBand="1" w:evenVBand="0" w:oddHBand="0" w:evenHBand="0" w:firstRowFirstColumn="0" w:firstRowLastColumn="0" w:lastRowFirstColumn="0" w:lastRowLastColumn="0"/>
            <w:tcW w:w="1119" w:type="dxa"/>
          </w:tcPr>
          <w:p w14:paraId="3FA91D08" w14:textId="77777777" w:rsidR="005D72AE" w:rsidRPr="00844A25" w:rsidRDefault="005D72AE" w:rsidP="00FA2A1A">
            <w:pPr>
              <w:rPr>
                <w:lang w:val="en-US"/>
              </w:rPr>
            </w:pPr>
            <w:r w:rsidRPr="00844A25">
              <w:rPr>
                <w:lang w:val="en-US"/>
              </w:rPr>
              <w:t>(23,140)</w:t>
            </w:r>
          </w:p>
        </w:tc>
        <w:tc>
          <w:tcPr>
            <w:cnfStyle w:val="000001000000" w:firstRow="0" w:lastRow="0" w:firstColumn="0" w:lastColumn="0" w:oddVBand="0" w:evenVBand="1" w:oddHBand="0" w:evenHBand="0" w:firstRowFirstColumn="0" w:firstRowLastColumn="0" w:lastRowFirstColumn="0" w:lastRowLastColumn="0"/>
            <w:tcW w:w="1149" w:type="dxa"/>
            <w:shd w:val="clear" w:color="auto" w:fill="F2F2F2" w:themeFill="background1" w:themeFillShade="F2"/>
          </w:tcPr>
          <w:p w14:paraId="55CB9E70" w14:textId="77777777" w:rsidR="005D72AE" w:rsidRPr="00844A25" w:rsidRDefault="005D72AE" w:rsidP="00FA2A1A">
            <w:pPr>
              <w:rPr>
                <w:lang w:val="en-US"/>
              </w:rPr>
            </w:pPr>
            <w:r w:rsidRPr="00844A25">
              <w:rPr>
                <w:lang w:val="en-US"/>
              </w:rPr>
              <w:t>11,412</w:t>
            </w:r>
          </w:p>
        </w:tc>
        <w:tc>
          <w:tcPr>
            <w:cnfStyle w:val="000010000000" w:firstRow="0" w:lastRow="0" w:firstColumn="0" w:lastColumn="0" w:oddVBand="1" w:evenVBand="0" w:oddHBand="0" w:evenHBand="0" w:firstRowFirstColumn="0" w:firstRowLastColumn="0" w:lastRowFirstColumn="0" w:lastRowLastColumn="0"/>
            <w:tcW w:w="1134" w:type="dxa"/>
          </w:tcPr>
          <w:p w14:paraId="7F8A030E" w14:textId="77777777" w:rsidR="005D72AE" w:rsidRPr="00844A25" w:rsidRDefault="005D72AE" w:rsidP="00FA2A1A">
            <w:pPr>
              <w:rPr>
                <w:lang w:val="en-US"/>
              </w:rPr>
            </w:pPr>
            <w:r w:rsidRPr="00844A25">
              <w:rPr>
                <w:lang w:val="en-US"/>
              </w:rPr>
              <w:t>-</w:t>
            </w:r>
          </w:p>
        </w:tc>
      </w:tr>
      <w:tr w:rsidR="005D72AE" w:rsidRPr="00844A25" w14:paraId="107F07E0" w14:textId="77777777" w:rsidTr="00FA2A1A">
        <w:trPr>
          <w:trHeight w:val="365"/>
        </w:trPr>
        <w:tc>
          <w:tcPr>
            <w:cnfStyle w:val="000010000000" w:firstRow="0" w:lastRow="0" w:firstColumn="0" w:lastColumn="0" w:oddVBand="1" w:evenVBand="0" w:oddHBand="0" w:evenHBand="0" w:firstRowFirstColumn="0" w:firstRowLastColumn="0" w:lastRowFirstColumn="0" w:lastRowLastColumn="0"/>
            <w:tcW w:w="2405" w:type="dxa"/>
          </w:tcPr>
          <w:p w14:paraId="6F25B7ED" w14:textId="77777777" w:rsidR="005D72AE" w:rsidRPr="00844A25" w:rsidRDefault="005D72AE" w:rsidP="00FA2A1A">
            <w:pPr>
              <w:rPr>
                <w:lang w:val="en-US"/>
              </w:rPr>
            </w:pPr>
            <w:r w:rsidRPr="00844A25">
              <w:rPr>
                <w:lang w:val="en-US"/>
              </w:rPr>
              <w:lastRenderedPageBreak/>
              <w:t>Motor vehicle under lease (2019: finance lease)</w:t>
            </w:r>
          </w:p>
        </w:tc>
        <w:tc>
          <w:tcPr>
            <w:cnfStyle w:val="000001000000" w:firstRow="0" w:lastRow="0" w:firstColumn="0" w:lastColumn="0" w:oddVBand="0" w:evenVBand="1" w:oddHBand="0" w:evenHBand="0" w:firstRowFirstColumn="0" w:firstRowLastColumn="0" w:lastRowFirstColumn="0" w:lastRowLastColumn="0"/>
            <w:tcW w:w="1134" w:type="dxa"/>
            <w:shd w:val="clear" w:color="auto" w:fill="F2F2F2" w:themeFill="background1" w:themeFillShade="F2"/>
          </w:tcPr>
          <w:p w14:paraId="150DDF62" w14:textId="77777777" w:rsidR="005D72AE" w:rsidRPr="00844A25" w:rsidRDefault="005D72AE" w:rsidP="00FA2A1A">
            <w:pPr>
              <w:rPr>
                <w:lang w:val="en-US"/>
              </w:rPr>
            </w:pPr>
            <w:r w:rsidRPr="00844A25">
              <w:rPr>
                <w:lang w:val="en-US"/>
              </w:rPr>
              <w:t>105,367</w:t>
            </w:r>
          </w:p>
        </w:tc>
        <w:tc>
          <w:tcPr>
            <w:cnfStyle w:val="000010000000" w:firstRow="0" w:lastRow="0" w:firstColumn="0" w:lastColumn="0" w:oddVBand="1" w:evenVBand="0" w:oddHBand="0" w:evenHBand="0" w:firstRowFirstColumn="0" w:firstRowLastColumn="0" w:lastRowFirstColumn="0" w:lastRowLastColumn="0"/>
            <w:tcW w:w="1134" w:type="dxa"/>
          </w:tcPr>
          <w:p w14:paraId="503F75D0" w14:textId="77777777" w:rsidR="005D72AE" w:rsidRPr="00844A25" w:rsidRDefault="005D72AE" w:rsidP="00FA2A1A">
            <w:pPr>
              <w:rPr>
                <w:lang w:val="en-US"/>
              </w:rPr>
            </w:pPr>
            <w:r w:rsidRPr="00844A25">
              <w:rPr>
                <w:lang w:val="en-US"/>
              </w:rPr>
              <w:t>37,865</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F2F2F2" w:themeFill="background1" w:themeFillShade="F2"/>
          </w:tcPr>
          <w:p w14:paraId="2D9783C8" w14:textId="77777777" w:rsidR="005D72AE" w:rsidRPr="00844A25" w:rsidRDefault="005D72AE" w:rsidP="00FA2A1A">
            <w:pPr>
              <w:rPr>
                <w:lang w:val="en-US"/>
              </w:rPr>
            </w:pPr>
            <w:r w:rsidRPr="00844A25">
              <w:rPr>
                <w:lang w:val="en-US"/>
              </w:rPr>
              <w:t>(20,914)</w:t>
            </w:r>
          </w:p>
        </w:tc>
        <w:tc>
          <w:tcPr>
            <w:cnfStyle w:val="000010000000" w:firstRow="0" w:lastRow="0" w:firstColumn="0" w:lastColumn="0" w:oddVBand="1" w:evenVBand="0" w:oddHBand="0" w:evenHBand="0" w:firstRowFirstColumn="0" w:firstRowLastColumn="0" w:lastRowFirstColumn="0" w:lastRowLastColumn="0"/>
            <w:tcW w:w="1119" w:type="dxa"/>
          </w:tcPr>
          <w:p w14:paraId="28A7539E" w14:textId="77777777" w:rsidR="005D72AE" w:rsidRPr="00844A25" w:rsidRDefault="005D72AE" w:rsidP="00FA2A1A">
            <w:pPr>
              <w:rPr>
                <w:lang w:val="en-US"/>
              </w:rPr>
            </w:pPr>
            <w:r w:rsidRPr="00844A25">
              <w:rPr>
                <w:lang w:val="en-US"/>
              </w:rPr>
              <w:t>(21,879)</w:t>
            </w:r>
          </w:p>
        </w:tc>
        <w:tc>
          <w:tcPr>
            <w:cnfStyle w:val="000001000000" w:firstRow="0" w:lastRow="0" w:firstColumn="0" w:lastColumn="0" w:oddVBand="0" w:evenVBand="1" w:oddHBand="0" w:evenHBand="0" w:firstRowFirstColumn="0" w:firstRowLastColumn="0" w:lastRowFirstColumn="0" w:lastRowLastColumn="0"/>
            <w:tcW w:w="1149" w:type="dxa"/>
            <w:shd w:val="clear" w:color="auto" w:fill="F2F2F2" w:themeFill="background1" w:themeFillShade="F2"/>
          </w:tcPr>
          <w:p w14:paraId="363FA493" w14:textId="77777777" w:rsidR="005D72AE" w:rsidRPr="00844A25" w:rsidRDefault="005D72AE" w:rsidP="00FA2A1A">
            <w:pPr>
              <w:rPr>
                <w:lang w:val="en-US"/>
              </w:rPr>
            </w:pPr>
            <w:r w:rsidRPr="00844A25">
              <w:rPr>
                <w:lang w:val="en-US"/>
              </w:rPr>
              <w:t>84,453</w:t>
            </w:r>
          </w:p>
        </w:tc>
        <w:tc>
          <w:tcPr>
            <w:cnfStyle w:val="000010000000" w:firstRow="0" w:lastRow="0" w:firstColumn="0" w:lastColumn="0" w:oddVBand="1" w:evenVBand="0" w:oddHBand="0" w:evenHBand="0" w:firstRowFirstColumn="0" w:firstRowLastColumn="0" w:lastRowFirstColumn="0" w:lastRowLastColumn="0"/>
            <w:tcW w:w="1134" w:type="dxa"/>
          </w:tcPr>
          <w:p w14:paraId="42995C84" w14:textId="77777777" w:rsidR="005D72AE" w:rsidRPr="00844A25" w:rsidRDefault="005D72AE" w:rsidP="00FA2A1A">
            <w:pPr>
              <w:rPr>
                <w:lang w:val="en-US"/>
              </w:rPr>
            </w:pPr>
            <w:r w:rsidRPr="00844A25">
              <w:rPr>
                <w:lang w:val="en-US"/>
              </w:rPr>
              <w:t>15,986</w:t>
            </w:r>
          </w:p>
        </w:tc>
      </w:tr>
      <w:tr w:rsidR="005D72AE" w:rsidRPr="00844A25" w14:paraId="6E4A54F3" w14:textId="77777777" w:rsidTr="00FA2A1A">
        <w:trPr>
          <w:cnfStyle w:val="000000100000" w:firstRow="0" w:lastRow="0" w:firstColumn="0" w:lastColumn="0" w:oddVBand="0" w:evenVBand="0" w:oddHBand="1"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2405" w:type="dxa"/>
          </w:tcPr>
          <w:p w14:paraId="745DE0A2" w14:textId="77777777" w:rsidR="005D72AE" w:rsidRPr="00844A25" w:rsidRDefault="005D72AE" w:rsidP="00FA2A1A">
            <w:pPr>
              <w:rPr>
                <w:lang w:val="en-US"/>
              </w:rPr>
            </w:pPr>
            <w:r w:rsidRPr="00844A25">
              <w:rPr>
                <w:lang w:val="en-US"/>
              </w:rPr>
              <w:t>Construction in Progress – Building</w:t>
            </w:r>
          </w:p>
        </w:tc>
        <w:tc>
          <w:tcPr>
            <w:cnfStyle w:val="000001000000" w:firstRow="0" w:lastRow="0" w:firstColumn="0" w:lastColumn="0" w:oddVBand="0" w:evenVBand="1" w:oddHBand="0" w:evenHBand="0" w:firstRowFirstColumn="0" w:firstRowLastColumn="0" w:lastRowFirstColumn="0" w:lastRowLastColumn="0"/>
            <w:tcW w:w="1134" w:type="dxa"/>
            <w:shd w:val="clear" w:color="auto" w:fill="F2F2F2" w:themeFill="background1" w:themeFillShade="F2"/>
          </w:tcPr>
          <w:p w14:paraId="507F92E6" w14:textId="77777777" w:rsidR="005D72AE" w:rsidRPr="00844A25" w:rsidRDefault="005D72AE" w:rsidP="00FA2A1A">
            <w:pPr>
              <w:rPr>
                <w:lang w:val="en-US"/>
              </w:rPr>
            </w:pPr>
            <w:r w:rsidRPr="00844A25">
              <w:rPr>
                <w:lang w:val="en-US"/>
              </w:rPr>
              <w:t>139,716</w:t>
            </w:r>
          </w:p>
        </w:tc>
        <w:tc>
          <w:tcPr>
            <w:cnfStyle w:val="000010000000" w:firstRow="0" w:lastRow="0" w:firstColumn="0" w:lastColumn="0" w:oddVBand="1" w:evenVBand="0" w:oddHBand="0" w:evenHBand="0" w:firstRowFirstColumn="0" w:firstRowLastColumn="0" w:lastRowFirstColumn="0" w:lastRowLastColumn="0"/>
            <w:tcW w:w="1134" w:type="dxa"/>
          </w:tcPr>
          <w:p w14:paraId="493358B2" w14:textId="77777777" w:rsidR="005D72AE" w:rsidRPr="00844A25" w:rsidRDefault="005D72AE" w:rsidP="00FA2A1A">
            <w:pPr>
              <w:rPr>
                <w:lang w:val="en-US"/>
              </w:rPr>
            </w:pPr>
            <w:r w:rsidRPr="00844A25">
              <w:rPr>
                <w:lang w:val="en-US"/>
              </w:rPr>
              <w:t>139,716</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F2F2F2" w:themeFill="background1" w:themeFillShade="F2"/>
          </w:tcPr>
          <w:p w14:paraId="51DE8805"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119" w:type="dxa"/>
          </w:tcPr>
          <w:p w14:paraId="6114FC1C" w14:textId="77777777" w:rsidR="005D72AE" w:rsidRPr="00844A25" w:rsidRDefault="005D72AE" w:rsidP="00FA2A1A">
            <w:pPr>
              <w:rPr>
                <w:lang w:val="en-US"/>
              </w:rPr>
            </w:pPr>
            <w:r w:rsidRPr="00844A25">
              <w:rPr>
                <w:lang w:val="en-US"/>
              </w:rPr>
              <w:t>-</w:t>
            </w:r>
          </w:p>
        </w:tc>
        <w:tc>
          <w:tcPr>
            <w:cnfStyle w:val="000001000000" w:firstRow="0" w:lastRow="0" w:firstColumn="0" w:lastColumn="0" w:oddVBand="0" w:evenVBand="1" w:oddHBand="0" w:evenHBand="0" w:firstRowFirstColumn="0" w:firstRowLastColumn="0" w:lastRowFirstColumn="0" w:lastRowLastColumn="0"/>
            <w:tcW w:w="1149" w:type="dxa"/>
            <w:shd w:val="clear" w:color="auto" w:fill="F2F2F2" w:themeFill="background1" w:themeFillShade="F2"/>
          </w:tcPr>
          <w:p w14:paraId="7D18A545" w14:textId="77777777" w:rsidR="005D72AE" w:rsidRPr="00844A25" w:rsidRDefault="005D72AE" w:rsidP="00FA2A1A">
            <w:pPr>
              <w:rPr>
                <w:lang w:val="en-US"/>
              </w:rPr>
            </w:pPr>
            <w:r w:rsidRPr="00844A25">
              <w:rPr>
                <w:lang w:val="en-US"/>
              </w:rPr>
              <w:t>139,716</w:t>
            </w:r>
          </w:p>
        </w:tc>
        <w:tc>
          <w:tcPr>
            <w:cnfStyle w:val="000010000000" w:firstRow="0" w:lastRow="0" w:firstColumn="0" w:lastColumn="0" w:oddVBand="1" w:evenVBand="0" w:oddHBand="0" w:evenHBand="0" w:firstRowFirstColumn="0" w:firstRowLastColumn="0" w:lastRowFirstColumn="0" w:lastRowLastColumn="0"/>
            <w:tcW w:w="1134" w:type="dxa"/>
          </w:tcPr>
          <w:p w14:paraId="358945DF" w14:textId="77777777" w:rsidR="005D72AE" w:rsidRPr="00844A25" w:rsidRDefault="005D72AE" w:rsidP="00FA2A1A">
            <w:pPr>
              <w:rPr>
                <w:lang w:val="en-US"/>
              </w:rPr>
            </w:pPr>
            <w:r w:rsidRPr="00844A25">
              <w:rPr>
                <w:lang w:val="en-US"/>
              </w:rPr>
              <w:t>139,716</w:t>
            </w:r>
          </w:p>
        </w:tc>
      </w:tr>
      <w:tr w:rsidR="005D72AE" w:rsidRPr="00844A25" w14:paraId="21151C00" w14:textId="77777777" w:rsidTr="00FA2A1A">
        <w:trPr>
          <w:trHeight w:val="365"/>
        </w:trPr>
        <w:tc>
          <w:tcPr>
            <w:cnfStyle w:val="000010000000" w:firstRow="0" w:lastRow="0" w:firstColumn="0" w:lastColumn="0" w:oddVBand="1" w:evenVBand="0" w:oddHBand="0" w:evenHBand="0" w:firstRowFirstColumn="0" w:firstRowLastColumn="0" w:lastRowFirstColumn="0" w:lastRowLastColumn="0"/>
            <w:tcW w:w="2405" w:type="dxa"/>
          </w:tcPr>
          <w:p w14:paraId="34A9DF6C" w14:textId="77777777" w:rsidR="005D72AE" w:rsidRPr="00844A25" w:rsidRDefault="005D72AE" w:rsidP="00FA2A1A">
            <w:pPr>
              <w:rPr>
                <w:lang w:val="en-US"/>
              </w:rPr>
            </w:pPr>
            <w:r w:rsidRPr="00844A25">
              <w:rPr>
                <w:lang w:val="en-US"/>
              </w:rPr>
              <w:t>Construction in Progress – Plant &amp; Equipment</w:t>
            </w:r>
          </w:p>
        </w:tc>
        <w:tc>
          <w:tcPr>
            <w:cnfStyle w:val="000001000000" w:firstRow="0" w:lastRow="0" w:firstColumn="0" w:lastColumn="0" w:oddVBand="0" w:evenVBand="1" w:oddHBand="0" w:evenHBand="0" w:firstRowFirstColumn="0" w:firstRowLastColumn="0" w:lastRowFirstColumn="0" w:lastRowLastColumn="0"/>
            <w:tcW w:w="1134" w:type="dxa"/>
            <w:shd w:val="clear" w:color="auto" w:fill="F2F2F2" w:themeFill="background1" w:themeFillShade="F2"/>
          </w:tcPr>
          <w:p w14:paraId="73ECF07F" w14:textId="77777777" w:rsidR="005D72AE" w:rsidRPr="00844A25" w:rsidRDefault="005D72AE" w:rsidP="00FA2A1A">
            <w:pPr>
              <w:rPr>
                <w:lang w:val="en-US"/>
              </w:rPr>
            </w:pPr>
            <w:r w:rsidRPr="00844A25">
              <w:rPr>
                <w:lang w:val="en-US"/>
              </w:rPr>
              <w:t>37,902</w:t>
            </w:r>
          </w:p>
        </w:tc>
        <w:tc>
          <w:tcPr>
            <w:cnfStyle w:val="000010000000" w:firstRow="0" w:lastRow="0" w:firstColumn="0" w:lastColumn="0" w:oddVBand="1" w:evenVBand="0" w:oddHBand="0" w:evenHBand="0" w:firstRowFirstColumn="0" w:firstRowLastColumn="0" w:lastRowFirstColumn="0" w:lastRowLastColumn="0"/>
            <w:tcW w:w="1134" w:type="dxa"/>
          </w:tcPr>
          <w:p w14:paraId="63D3362A" w14:textId="77777777" w:rsidR="005D72AE" w:rsidRPr="00844A25" w:rsidRDefault="005D72AE" w:rsidP="00FA2A1A">
            <w:pPr>
              <w:rPr>
                <w:lang w:val="en-US"/>
              </w:rPr>
            </w:pPr>
            <w:r w:rsidRPr="00844A25">
              <w:rPr>
                <w:lang w:val="en-US"/>
              </w:rPr>
              <w:t>37,902</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F2F2F2" w:themeFill="background1" w:themeFillShade="F2"/>
          </w:tcPr>
          <w:p w14:paraId="38D1D72E"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119" w:type="dxa"/>
          </w:tcPr>
          <w:p w14:paraId="6538C518" w14:textId="77777777" w:rsidR="005D72AE" w:rsidRPr="00844A25" w:rsidRDefault="005D72AE" w:rsidP="00FA2A1A">
            <w:pPr>
              <w:rPr>
                <w:lang w:val="en-US"/>
              </w:rPr>
            </w:pPr>
            <w:r w:rsidRPr="00844A25">
              <w:rPr>
                <w:lang w:val="en-US"/>
              </w:rPr>
              <w:t>-</w:t>
            </w:r>
          </w:p>
        </w:tc>
        <w:tc>
          <w:tcPr>
            <w:cnfStyle w:val="000001000000" w:firstRow="0" w:lastRow="0" w:firstColumn="0" w:lastColumn="0" w:oddVBand="0" w:evenVBand="1" w:oddHBand="0" w:evenHBand="0" w:firstRowFirstColumn="0" w:firstRowLastColumn="0" w:lastRowFirstColumn="0" w:lastRowLastColumn="0"/>
            <w:tcW w:w="1149" w:type="dxa"/>
            <w:shd w:val="clear" w:color="auto" w:fill="F2F2F2" w:themeFill="background1" w:themeFillShade="F2"/>
          </w:tcPr>
          <w:p w14:paraId="4DEE0B33" w14:textId="77777777" w:rsidR="005D72AE" w:rsidRPr="00844A25" w:rsidRDefault="005D72AE" w:rsidP="00FA2A1A">
            <w:pPr>
              <w:rPr>
                <w:lang w:val="en-US"/>
              </w:rPr>
            </w:pPr>
            <w:r w:rsidRPr="00844A25">
              <w:rPr>
                <w:lang w:val="en-US"/>
              </w:rPr>
              <w:t>37,902</w:t>
            </w:r>
          </w:p>
        </w:tc>
        <w:tc>
          <w:tcPr>
            <w:cnfStyle w:val="000010000000" w:firstRow="0" w:lastRow="0" w:firstColumn="0" w:lastColumn="0" w:oddVBand="1" w:evenVBand="0" w:oddHBand="0" w:evenHBand="0" w:firstRowFirstColumn="0" w:firstRowLastColumn="0" w:lastRowFirstColumn="0" w:lastRowLastColumn="0"/>
            <w:tcW w:w="1134" w:type="dxa"/>
          </w:tcPr>
          <w:p w14:paraId="4030896E" w14:textId="77777777" w:rsidR="005D72AE" w:rsidRPr="00844A25" w:rsidRDefault="005D72AE" w:rsidP="00FA2A1A">
            <w:pPr>
              <w:rPr>
                <w:lang w:val="en-US"/>
              </w:rPr>
            </w:pPr>
            <w:r w:rsidRPr="00844A25">
              <w:rPr>
                <w:lang w:val="en-US"/>
              </w:rPr>
              <w:t>37,902</w:t>
            </w:r>
          </w:p>
        </w:tc>
      </w:tr>
      <w:tr w:rsidR="005D72AE" w:rsidRPr="00844A25" w14:paraId="38736C6A" w14:textId="77777777" w:rsidTr="00FA2A1A">
        <w:trPr>
          <w:cnfStyle w:val="000000100000" w:firstRow="0" w:lastRow="0" w:firstColumn="0" w:lastColumn="0" w:oddVBand="0" w:evenVBand="0" w:oddHBand="1" w:evenHBand="0" w:firstRowFirstColumn="0" w:firstRowLastColumn="0" w:lastRowFirstColumn="0" w:lastRowLastColumn="0"/>
          <w:trHeight w:val="387"/>
        </w:trPr>
        <w:tc>
          <w:tcPr>
            <w:cnfStyle w:val="000010000000" w:firstRow="0" w:lastRow="0" w:firstColumn="0" w:lastColumn="0" w:oddVBand="1" w:evenVBand="0" w:oddHBand="0" w:evenHBand="0" w:firstRowFirstColumn="0" w:firstRowLastColumn="0" w:lastRowFirstColumn="0" w:lastRowLastColumn="0"/>
            <w:tcW w:w="2405" w:type="dxa"/>
          </w:tcPr>
          <w:p w14:paraId="41DFFA13" w14:textId="77777777" w:rsidR="005D72AE" w:rsidRPr="005C59A6" w:rsidRDefault="005D72AE" w:rsidP="00FA2A1A">
            <w:pPr>
              <w:rPr>
                <w:b/>
                <w:bCs/>
                <w:lang w:val="en-US"/>
              </w:rPr>
            </w:pPr>
            <w:r w:rsidRPr="005C59A6">
              <w:rPr>
                <w:b/>
                <w:bCs/>
                <w:lang w:val="en-US"/>
              </w:rPr>
              <w:t xml:space="preserve">Net carrying amount </w:t>
            </w:r>
          </w:p>
        </w:tc>
        <w:tc>
          <w:tcPr>
            <w:cnfStyle w:val="000001000000" w:firstRow="0" w:lastRow="0" w:firstColumn="0" w:lastColumn="0" w:oddVBand="0" w:evenVBand="1" w:oddHBand="0" w:evenHBand="0" w:firstRowFirstColumn="0" w:firstRowLastColumn="0" w:lastRowFirstColumn="0" w:lastRowLastColumn="0"/>
            <w:tcW w:w="1134" w:type="dxa"/>
            <w:shd w:val="clear" w:color="auto" w:fill="F2F2F2" w:themeFill="background1" w:themeFillShade="F2"/>
          </w:tcPr>
          <w:p w14:paraId="48898F15" w14:textId="77777777" w:rsidR="005D72AE" w:rsidRPr="005C59A6" w:rsidRDefault="005D72AE" w:rsidP="00FA2A1A">
            <w:pPr>
              <w:rPr>
                <w:b/>
                <w:bCs/>
                <w:lang w:val="en-US"/>
              </w:rPr>
            </w:pPr>
            <w:r w:rsidRPr="005C59A6">
              <w:rPr>
                <w:b/>
                <w:bCs/>
                <w:lang w:val="en-US"/>
              </w:rPr>
              <w:t>450,354</w:t>
            </w:r>
          </w:p>
        </w:tc>
        <w:tc>
          <w:tcPr>
            <w:cnfStyle w:val="000010000000" w:firstRow="0" w:lastRow="0" w:firstColumn="0" w:lastColumn="0" w:oddVBand="1" w:evenVBand="0" w:oddHBand="0" w:evenHBand="0" w:firstRowFirstColumn="0" w:firstRowLastColumn="0" w:lastRowFirstColumn="0" w:lastRowLastColumn="0"/>
            <w:tcW w:w="1134" w:type="dxa"/>
          </w:tcPr>
          <w:p w14:paraId="6042ECD9" w14:textId="77777777" w:rsidR="005D72AE" w:rsidRPr="005C59A6" w:rsidRDefault="005D72AE" w:rsidP="00FA2A1A">
            <w:pPr>
              <w:rPr>
                <w:b/>
                <w:bCs/>
                <w:lang w:val="en-US"/>
              </w:rPr>
            </w:pPr>
            <w:r w:rsidRPr="005C59A6">
              <w:rPr>
                <w:b/>
                <w:bCs/>
                <w:lang w:val="en-US"/>
              </w:rPr>
              <w:t>345,093</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F2F2F2" w:themeFill="background1" w:themeFillShade="F2"/>
          </w:tcPr>
          <w:p w14:paraId="028520F8" w14:textId="77777777" w:rsidR="005D72AE" w:rsidRPr="005C59A6" w:rsidRDefault="005D72AE" w:rsidP="00FA2A1A">
            <w:pPr>
              <w:rPr>
                <w:b/>
                <w:bCs/>
                <w:lang w:val="en-US"/>
              </w:rPr>
            </w:pPr>
            <w:r w:rsidRPr="005C59A6">
              <w:rPr>
                <w:b/>
                <w:bCs/>
                <w:lang w:val="en-US"/>
              </w:rPr>
              <w:t>(116,790)</w:t>
            </w:r>
          </w:p>
        </w:tc>
        <w:tc>
          <w:tcPr>
            <w:cnfStyle w:val="000010000000" w:firstRow="0" w:lastRow="0" w:firstColumn="0" w:lastColumn="0" w:oddVBand="1" w:evenVBand="0" w:oddHBand="0" w:evenHBand="0" w:firstRowFirstColumn="0" w:firstRowLastColumn="0" w:lastRowFirstColumn="0" w:lastRowLastColumn="0"/>
            <w:tcW w:w="1119" w:type="dxa"/>
          </w:tcPr>
          <w:p w14:paraId="484E7F4B" w14:textId="77777777" w:rsidR="005D72AE" w:rsidRPr="005C59A6" w:rsidRDefault="005D72AE" w:rsidP="00FA2A1A">
            <w:pPr>
              <w:rPr>
                <w:b/>
                <w:bCs/>
                <w:lang w:val="en-US"/>
              </w:rPr>
            </w:pPr>
            <w:r w:rsidRPr="005C59A6">
              <w:rPr>
                <w:b/>
                <w:bCs/>
                <w:lang w:val="en-US"/>
              </w:rPr>
              <w:t>(94,705)</w:t>
            </w:r>
          </w:p>
        </w:tc>
        <w:tc>
          <w:tcPr>
            <w:cnfStyle w:val="000001000000" w:firstRow="0" w:lastRow="0" w:firstColumn="0" w:lastColumn="0" w:oddVBand="0" w:evenVBand="1" w:oddHBand="0" w:evenHBand="0" w:firstRowFirstColumn="0" w:firstRowLastColumn="0" w:lastRowFirstColumn="0" w:lastRowLastColumn="0"/>
            <w:tcW w:w="1149" w:type="dxa"/>
            <w:shd w:val="clear" w:color="auto" w:fill="F2F2F2" w:themeFill="background1" w:themeFillShade="F2"/>
          </w:tcPr>
          <w:p w14:paraId="067638BE" w14:textId="77777777" w:rsidR="005D72AE" w:rsidRPr="005C59A6" w:rsidRDefault="005D72AE" w:rsidP="00FA2A1A">
            <w:pPr>
              <w:rPr>
                <w:b/>
                <w:bCs/>
                <w:lang w:val="en-US"/>
              </w:rPr>
            </w:pPr>
            <w:r w:rsidRPr="005C59A6">
              <w:rPr>
                <w:b/>
                <w:bCs/>
                <w:lang w:val="en-US"/>
              </w:rPr>
              <w:t>333,564</w:t>
            </w:r>
          </w:p>
        </w:tc>
        <w:tc>
          <w:tcPr>
            <w:cnfStyle w:val="000010000000" w:firstRow="0" w:lastRow="0" w:firstColumn="0" w:lastColumn="0" w:oddVBand="1" w:evenVBand="0" w:oddHBand="0" w:evenHBand="0" w:firstRowFirstColumn="0" w:firstRowLastColumn="0" w:lastRowFirstColumn="0" w:lastRowLastColumn="0"/>
            <w:tcW w:w="1134" w:type="dxa"/>
          </w:tcPr>
          <w:p w14:paraId="006B8900" w14:textId="77777777" w:rsidR="005D72AE" w:rsidRPr="005C59A6" w:rsidRDefault="005D72AE" w:rsidP="00FA2A1A">
            <w:pPr>
              <w:rPr>
                <w:b/>
                <w:bCs/>
                <w:lang w:val="en-US"/>
              </w:rPr>
            </w:pPr>
            <w:r w:rsidRPr="005C59A6">
              <w:rPr>
                <w:b/>
                <w:bCs/>
                <w:lang w:val="en-US"/>
              </w:rPr>
              <w:t>250,388</w:t>
            </w:r>
          </w:p>
        </w:tc>
      </w:tr>
    </w:tbl>
    <w:p w14:paraId="3F12E6D1" w14:textId="77777777" w:rsidR="005D72AE" w:rsidRPr="00844A25" w:rsidRDefault="005D72AE" w:rsidP="005D72AE">
      <w:pPr>
        <w:rPr>
          <w:lang w:val="en-US"/>
        </w:rPr>
      </w:pPr>
      <w:r w:rsidRPr="00844A25">
        <w:rPr>
          <w:i/>
          <w:iCs/>
          <w:lang w:val="en-US"/>
        </w:rPr>
        <w:t>(a) AASB 16 Leases has been applied for the first time from 1 July 2019. From 1 November 2019, lease payments on the commission’s accommodation are recognised in DTF’s Administered items, following the implementation of the Centralised Accommodation Management strategy across the whole of government. The Centralised Accommodation Management strategy is described in Note 9.2.1.</w:t>
      </w:r>
      <w:r>
        <w:rPr>
          <w:lang w:val="en-US"/>
        </w:rPr>
        <w:t xml:space="preserve"> </w:t>
      </w:r>
    </w:p>
    <w:p w14:paraId="532DA9BB" w14:textId="77777777" w:rsidR="005D72AE" w:rsidRPr="00844A25" w:rsidRDefault="005D72AE" w:rsidP="005D72AE">
      <w:pPr>
        <w:pStyle w:val="Heading3"/>
      </w:pPr>
      <w:r w:rsidRPr="00844A25">
        <w:t>Initial recognition</w:t>
      </w:r>
    </w:p>
    <w:p w14:paraId="19D5418E" w14:textId="77777777" w:rsidR="005D72AE" w:rsidRPr="00844A25" w:rsidRDefault="005D72AE" w:rsidP="005D72AE">
      <w:pPr>
        <w:rPr>
          <w:lang w:val="en-US"/>
        </w:rPr>
      </w:pPr>
      <w:r w:rsidRPr="00844A25">
        <w:rPr>
          <w:lang w:val="en-US"/>
        </w:rPr>
        <w:t>Items of property, plant and equipment, are measured initially at cost and subsequently revalued at fair value less accumulated depreciation and impairment. Where an asset is acquired for no or nominal cost, the cost</w:t>
      </w:r>
      <w:r>
        <w:rPr>
          <w:lang w:val="en-US"/>
        </w:rPr>
        <w:t xml:space="preserve"> </w:t>
      </w:r>
      <w:r w:rsidRPr="00844A25">
        <w:rPr>
          <w:lang w:val="en-US"/>
        </w:rPr>
        <w:t xml:space="preserve">is its fair value at the date of acquisition. </w:t>
      </w:r>
    </w:p>
    <w:p w14:paraId="2540972A" w14:textId="77777777" w:rsidR="005D72AE" w:rsidRPr="00844A25" w:rsidRDefault="005D72AE" w:rsidP="005D72AE">
      <w:pPr>
        <w:rPr>
          <w:lang w:val="en-US"/>
        </w:rPr>
      </w:pPr>
      <w:r w:rsidRPr="00844A25">
        <w:rPr>
          <w:lang w:val="en-US"/>
        </w:rPr>
        <w:t>The cost of leasehold improvements is capitalised as an asset and depreciated over the remaining term of the lease or the estimated useful life of the improvements, whichever is the shorter.</w:t>
      </w:r>
    </w:p>
    <w:p w14:paraId="39F3F109" w14:textId="77777777" w:rsidR="005D72AE" w:rsidRPr="00844A25" w:rsidRDefault="005D72AE" w:rsidP="005D72AE">
      <w:pPr>
        <w:rPr>
          <w:lang w:val="en-US"/>
        </w:rPr>
      </w:pPr>
      <w:r w:rsidRPr="00844A25">
        <w:rPr>
          <w:lang w:val="en-US"/>
        </w:rPr>
        <w:t>The initial cost for non-financial physical assets under a finance lease is measured at amounts equal to the fair value of the leased asset or, if lower, the present value of the minimum lease payments, each determined at the inception of the lease.</w:t>
      </w:r>
    </w:p>
    <w:p w14:paraId="5E72CABF" w14:textId="77777777" w:rsidR="005D72AE" w:rsidRPr="00844A25" w:rsidRDefault="005D72AE" w:rsidP="005D72AE">
      <w:pPr>
        <w:pStyle w:val="Heading3"/>
      </w:pPr>
      <w:r w:rsidRPr="00844A25">
        <w:t>Subsequent measurement</w:t>
      </w:r>
    </w:p>
    <w:p w14:paraId="74D8F17A" w14:textId="77777777" w:rsidR="005D72AE" w:rsidRPr="00844A25" w:rsidRDefault="005D72AE" w:rsidP="005D72AE">
      <w:pPr>
        <w:rPr>
          <w:lang w:val="en-US"/>
        </w:rPr>
      </w:pPr>
      <w:r w:rsidRPr="00844A25">
        <w:rPr>
          <w:lang w:val="en-US"/>
        </w:rPr>
        <w:t xml:space="preserve">Property, plant and equipment are subsequently measured at fair value less accumulated depreciation and impairment. Fair value is determined with regard to the asset’s highest and best use (considering legal or physical restrictions imposed on the asset, public announcements or commitments made in relation to the intended use of the asset). </w:t>
      </w:r>
    </w:p>
    <w:p w14:paraId="41B4CB55" w14:textId="77777777" w:rsidR="005D72AE" w:rsidRPr="00844A25" w:rsidRDefault="005D72AE" w:rsidP="005D72AE">
      <w:pPr>
        <w:pStyle w:val="Heading4"/>
      </w:pPr>
      <w:r w:rsidRPr="00844A25">
        <w:t xml:space="preserve">5.1.1. Depreciation and amortisation </w:t>
      </w:r>
    </w:p>
    <w:tbl>
      <w:tblPr>
        <w:tblStyle w:val="PlainTable2"/>
        <w:tblW w:w="9504" w:type="dxa"/>
        <w:tblLayout w:type="fixed"/>
        <w:tblLook w:val="0000" w:firstRow="0" w:lastRow="0" w:firstColumn="0" w:lastColumn="0" w:noHBand="0" w:noVBand="0"/>
      </w:tblPr>
      <w:tblGrid>
        <w:gridCol w:w="6594"/>
        <w:gridCol w:w="1455"/>
        <w:gridCol w:w="1455"/>
      </w:tblGrid>
      <w:tr w:rsidR="005D72AE" w:rsidRPr="00844A25" w14:paraId="0879711F" w14:textId="77777777" w:rsidTr="00FA2A1A">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6594" w:type="dxa"/>
          </w:tcPr>
          <w:p w14:paraId="4FE95904" w14:textId="77777777" w:rsidR="005D72AE" w:rsidRPr="00D64325"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455" w:type="dxa"/>
            <w:shd w:val="clear" w:color="auto" w:fill="F2F2F2" w:themeFill="background1" w:themeFillShade="F2"/>
          </w:tcPr>
          <w:p w14:paraId="4608BFD3" w14:textId="77777777" w:rsidR="005D72AE" w:rsidRPr="00D64325" w:rsidRDefault="005D72AE" w:rsidP="00FA2A1A">
            <w:pPr>
              <w:rPr>
                <w:b/>
                <w:bCs/>
                <w:lang w:val="en-US"/>
              </w:rPr>
            </w:pPr>
            <w:r w:rsidRPr="00D64325">
              <w:rPr>
                <w:b/>
                <w:bCs/>
                <w:lang w:val="en-US"/>
              </w:rPr>
              <w:t>2020</w:t>
            </w:r>
          </w:p>
        </w:tc>
        <w:tc>
          <w:tcPr>
            <w:cnfStyle w:val="000010000000" w:firstRow="0" w:lastRow="0" w:firstColumn="0" w:lastColumn="0" w:oddVBand="1" w:evenVBand="0" w:oddHBand="0" w:evenHBand="0" w:firstRowFirstColumn="0" w:firstRowLastColumn="0" w:lastRowFirstColumn="0" w:lastRowLastColumn="0"/>
            <w:tcW w:w="1455" w:type="dxa"/>
          </w:tcPr>
          <w:p w14:paraId="58B3E588" w14:textId="77777777" w:rsidR="005D72AE" w:rsidRPr="00D64325" w:rsidRDefault="005D72AE" w:rsidP="00FA2A1A">
            <w:pPr>
              <w:rPr>
                <w:b/>
                <w:bCs/>
                <w:lang w:val="en-US"/>
              </w:rPr>
            </w:pPr>
            <w:r w:rsidRPr="00D64325">
              <w:rPr>
                <w:b/>
                <w:bCs/>
                <w:lang w:val="en-US"/>
              </w:rPr>
              <w:t>2019</w:t>
            </w:r>
          </w:p>
        </w:tc>
      </w:tr>
      <w:tr w:rsidR="005D72AE" w:rsidRPr="00844A25" w14:paraId="2439B61E" w14:textId="77777777" w:rsidTr="00FA2A1A">
        <w:trPr>
          <w:trHeight w:val="287"/>
        </w:trPr>
        <w:tc>
          <w:tcPr>
            <w:cnfStyle w:val="000010000000" w:firstRow="0" w:lastRow="0" w:firstColumn="0" w:lastColumn="0" w:oddVBand="1" w:evenVBand="0" w:oddHBand="0" w:evenHBand="0" w:firstRowFirstColumn="0" w:firstRowLastColumn="0" w:lastRowFirstColumn="0" w:lastRowLastColumn="0"/>
            <w:tcW w:w="6594" w:type="dxa"/>
          </w:tcPr>
          <w:p w14:paraId="35F55627" w14:textId="77777777" w:rsidR="005D72AE" w:rsidRPr="00D64325" w:rsidRDefault="005D72AE" w:rsidP="00FA2A1A">
            <w:pPr>
              <w:rPr>
                <w:b/>
                <w:bCs/>
                <w:lang w:val="en-US"/>
              </w:rPr>
            </w:pPr>
            <w:r w:rsidRPr="00D64325">
              <w:rPr>
                <w:b/>
                <w:bCs/>
                <w:lang w:val="en-US"/>
              </w:rPr>
              <w:t xml:space="preserve">Charge for the period </w:t>
            </w:r>
            <w:r w:rsidRPr="00D64325">
              <w:rPr>
                <w:b/>
                <w:bCs/>
                <w:vertAlign w:val="superscript"/>
                <w:lang w:val="en-US"/>
              </w:rPr>
              <w:t>(a)</w:t>
            </w:r>
          </w:p>
        </w:tc>
        <w:tc>
          <w:tcPr>
            <w:cnfStyle w:val="000001000000" w:firstRow="0" w:lastRow="0" w:firstColumn="0" w:lastColumn="0" w:oddVBand="0" w:evenVBand="1" w:oddHBand="0" w:evenHBand="0" w:firstRowFirstColumn="0" w:firstRowLastColumn="0" w:lastRowFirstColumn="0" w:lastRowLastColumn="0"/>
            <w:tcW w:w="1455" w:type="dxa"/>
            <w:shd w:val="clear" w:color="auto" w:fill="F2F2F2" w:themeFill="background1" w:themeFillShade="F2"/>
          </w:tcPr>
          <w:p w14:paraId="1FF6F03C" w14:textId="77777777" w:rsidR="005D72AE" w:rsidRPr="00D64325" w:rsidRDefault="005D72AE" w:rsidP="00FA2A1A">
            <w:pPr>
              <w:rPr>
                <w:b/>
                <w:bCs/>
                <w:lang w:val="en-US"/>
              </w:rPr>
            </w:pPr>
            <w:r w:rsidRPr="00D64325">
              <w:rPr>
                <w:b/>
                <w:bCs/>
                <w:lang w:val="en-US"/>
              </w:rPr>
              <w:t>$</w:t>
            </w:r>
          </w:p>
        </w:tc>
        <w:tc>
          <w:tcPr>
            <w:cnfStyle w:val="000010000000" w:firstRow="0" w:lastRow="0" w:firstColumn="0" w:lastColumn="0" w:oddVBand="1" w:evenVBand="0" w:oddHBand="0" w:evenHBand="0" w:firstRowFirstColumn="0" w:firstRowLastColumn="0" w:lastRowFirstColumn="0" w:lastRowLastColumn="0"/>
            <w:tcW w:w="1455" w:type="dxa"/>
          </w:tcPr>
          <w:p w14:paraId="5F6AEE02" w14:textId="77777777" w:rsidR="005D72AE" w:rsidRPr="00D64325" w:rsidRDefault="005D72AE" w:rsidP="00FA2A1A">
            <w:pPr>
              <w:rPr>
                <w:b/>
                <w:bCs/>
                <w:lang w:val="en-US"/>
              </w:rPr>
            </w:pPr>
            <w:r w:rsidRPr="00D64325">
              <w:rPr>
                <w:b/>
                <w:bCs/>
                <w:lang w:val="en-US"/>
              </w:rPr>
              <w:t>$</w:t>
            </w:r>
          </w:p>
        </w:tc>
      </w:tr>
      <w:tr w:rsidR="005D72AE" w:rsidRPr="00844A25" w14:paraId="283A58E8" w14:textId="77777777" w:rsidTr="00FA2A1A">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6594" w:type="dxa"/>
          </w:tcPr>
          <w:p w14:paraId="550C6C3F" w14:textId="77777777" w:rsidR="005D72AE" w:rsidRPr="00844A25" w:rsidRDefault="005D72AE" w:rsidP="00FA2A1A">
            <w:pPr>
              <w:rPr>
                <w:lang w:val="en-US"/>
              </w:rPr>
            </w:pPr>
            <w:r w:rsidRPr="00844A25">
              <w:rPr>
                <w:lang w:val="en-US"/>
              </w:rPr>
              <w:t xml:space="preserve">Buildings </w:t>
            </w:r>
            <w:r w:rsidRPr="00844A25">
              <w:rPr>
                <w:vertAlign w:val="superscript"/>
                <w:lang w:val="en-US"/>
              </w:rPr>
              <w:t>(b)</w:t>
            </w:r>
          </w:p>
        </w:tc>
        <w:tc>
          <w:tcPr>
            <w:cnfStyle w:val="000001000000" w:firstRow="0" w:lastRow="0" w:firstColumn="0" w:lastColumn="0" w:oddVBand="0" w:evenVBand="1" w:oddHBand="0" w:evenHBand="0" w:firstRowFirstColumn="0" w:firstRowLastColumn="0" w:lastRowFirstColumn="0" w:lastRowLastColumn="0"/>
            <w:tcW w:w="1455" w:type="dxa"/>
            <w:shd w:val="clear" w:color="auto" w:fill="F2F2F2" w:themeFill="background1" w:themeFillShade="F2"/>
          </w:tcPr>
          <w:p w14:paraId="58A19470" w14:textId="77777777" w:rsidR="005D72AE" w:rsidRPr="00844A25" w:rsidRDefault="005D72AE" w:rsidP="00FA2A1A">
            <w:pPr>
              <w:rPr>
                <w:lang w:val="en-US"/>
              </w:rPr>
            </w:pPr>
            <w:r w:rsidRPr="00844A25">
              <w:rPr>
                <w:lang w:val="en-US"/>
              </w:rPr>
              <w:t>284,290</w:t>
            </w:r>
          </w:p>
        </w:tc>
        <w:tc>
          <w:tcPr>
            <w:cnfStyle w:val="000010000000" w:firstRow="0" w:lastRow="0" w:firstColumn="0" w:lastColumn="0" w:oddVBand="1" w:evenVBand="0" w:oddHBand="0" w:evenHBand="0" w:firstRowFirstColumn="0" w:firstRowLastColumn="0" w:lastRowFirstColumn="0" w:lastRowLastColumn="0"/>
            <w:tcW w:w="1455" w:type="dxa"/>
          </w:tcPr>
          <w:p w14:paraId="49C86793" w14:textId="77777777" w:rsidR="005D72AE" w:rsidRPr="00844A25" w:rsidRDefault="005D72AE" w:rsidP="00FA2A1A">
            <w:pPr>
              <w:rPr>
                <w:lang w:val="en-US"/>
              </w:rPr>
            </w:pPr>
            <w:r w:rsidRPr="00844A25">
              <w:rPr>
                <w:lang w:val="en-US"/>
              </w:rPr>
              <w:t>-</w:t>
            </w:r>
          </w:p>
        </w:tc>
      </w:tr>
      <w:tr w:rsidR="005D72AE" w:rsidRPr="00844A25" w14:paraId="4387ACAD" w14:textId="77777777" w:rsidTr="00FA2A1A">
        <w:trPr>
          <w:trHeight w:val="287"/>
        </w:trPr>
        <w:tc>
          <w:tcPr>
            <w:cnfStyle w:val="000010000000" w:firstRow="0" w:lastRow="0" w:firstColumn="0" w:lastColumn="0" w:oddVBand="1" w:evenVBand="0" w:oddHBand="0" w:evenHBand="0" w:firstRowFirstColumn="0" w:firstRowLastColumn="0" w:lastRowFirstColumn="0" w:lastRowLastColumn="0"/>
            <w:tcW w:w="6594" w:type="dxa"/>
          </w:tcPr>
          <w:p w14:paraId="61718256" w14:textId="77777777" w:rsidR="005D72AE" w:rsidRPr="00844A25" w:rsidRDefault="005D72AE" w:rsidP="00FA2A1A">
            <w:pPr>
              <w:rPr>
                <w:lang w:val="en-US"/>
              </w:rPr>
            </w:pPr>
            <w:r w:rsidRPr="00844A25">
              <w:rPr>
                <w:lang w:val="en-US"/>
              </w:rPr>
              <w:t>Leasehold improvements</w:t>
            </w:r>
          </w:p>
        </w:tc>
        <w:tc>
          <w:tcPr>
            <w:cnfStyle w:val="000001000000" w:firstRow="0" w:lastRow="0" w:firstColumn="0" w:lastColumn="0" w:oddVBand="0" w:evenVBand="1" w:oddHBand="0" w:evenHBand="0" w:firstRowFirstColumn="0" w:firstRowLastColumn="0" w:lastRowFirstColumn="0" w:lastRowLastColumn="0"/>
            <w:tcW w:w="1455" w:type="dxa"/>
            <w:shd w:val="clear" w:color="auto" w:fill="F2F2F2" w:themeFill="background1" w:themeFillShade="F2"/>
          </w:tcPr>
          <w:p w14:paraId="5AA21713" w14:textId="77777777" w:rsidR="005D72AE" w:rsidRPr="00844A25" w:rsidRDefault="005D72AE" w:rsidP="00FA2A1A">
            <w:pPr>
              <w:rPr>
                <w:lang w:val="en-US"/>
              </w:rPr>
            </w:pPr>
            <w:r w:rsidRPr="00844A25">
              <w:rPr>
                <w:lang w:val="en-US"/>
              </w:rPr>
              <w:t>21,293</w:t>
            </w:r>
          </w:p>
        </w:tc>
        <w:tc>
          <w:tcPr>
            <w:cnfStyle w:val="000010000000" w:firstRow="0" w:lastRow="0" w:firstColumn="0" w:lastColumn="0" w:oddVBand="1" w:evenVBand="0" w:oddHBand="0" w:evenHBand="0" w:firstRowFirstColumn="0" w:firstRowLastColumn="0" w:lastRowFirstColumn="0" w:lastRowLastColumn="0"/>
            <w:tcW w:w="1455" w:type="dxa"/>
          </w:tcPr>
          <w:p w14:paraId="175C1B15" w14:textId="77777777" w:rsidR="005D72AE" w:rsidRPr="00844A25" w:rsidRDefault="005D72AE" w:rsidP="00FA2A1A">
            <w:pPr>
              <w:rPr>
                <w:lang w:val="en-US"/>
              </w:rPr>
            </w:pPr>
            <w:r w:rsidRPr="00844A25">
              <w:rPr>
                <w:lang w:val="en-US"/>
              </w:rPr>
              <w:t>21,294</w:t>
            </w:r>
          </w:p>
        </w:tc>
      </w:tr>
      <w:tr w:rsidR="005D72AE" w:rsidRPr="00844A25" w14:paraId="03EABB41" w14:textId="77777777" w:rsidTr="00FA2A1A">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6594" w:type="dxa"/>
          </w:tcPr>
          <w:p w14:paraId="46F83D97" w14:textId="77777777" w:rsidR="005D72AE" w:rsidRPr="00844A25" w:rsidRDefault="005D72AE" w:rsidP="00FA2A1A">
            <w:pPr>
              <w:rPr>
                <w:lang w:val="en-US"/>
              </w:rPr>
            </w:pPr>
            <w:r w:rsidRPr="00844A25">
              <w:rPr>
                <w:lang w:val="en-US"/>
              </w:rPr>
              <w:lastRenderedPageBreak/>
              <w:t>Office and computer equipment</w:t>
            </w:r>
          </w:p>
        </w:tc>
        <w:tc>
          <w:tcPr>
            <w:cnfStyle w:val="000001000000" w:firstRow="0" w:lastRow="0" w:firstColumn="0" w:lastColumn="0" w:oddVBand="0" w:evenVBand="1" w:oddHBand="0" w:evenHBand="0" w:firstRowFirstColumn="0" w:firstRowLastColumn="0" w:lastRowFirstColumn="0" w:lastRowLastColumn="0"/>
            <w:tcW w:w="1455" w:type="dxa"/>
            <w:shd w:val="clear" w:color="auto" w:fill="F2F2F2" w:themeFill="background1" w:themeFillShade="F2"/>
          </w:tcPr>
          <w:p w14:paraId="3C5FB467" w14:textId="77777777" w:rsidR="005D72AE" w:rsidRPr="00844A25" w:rsidRDefault="005D72AE" w:rsidP="00FA2A1A">
            <w:pPr>
              <w:rPr>
                <w:lang w:val="en-US"/>
              </w:rPr>
            </w:pPr>
            <w:r w:rsidRPr="00844A25">
              <w:rPr>
                <w:lang w:val="en-US"/>
              </w:rPr>
              <w:t>1,756</w:t>
            </w:r>
          </w:p>
        </w:tc>
        <w:tc>
          <w:tcPr>
            <w:cnfStyle w:val="000010000000" w:firstRow="0" w:lastRow="0" w:firstColumn="0" w:lastColumn="0" w:oddVBand="1" w:evenVBand="0" w:oddHBand="0" w:evenHBand="0" w:firstRowFirstColumn="0" w:firstRowLastColumn="0" w:lastRowFirstColumn="0" w:lastRowLastColumn="0"/>
            <w:tcW w:w="1455" w:type="dxa"/>
          </w:tcPr>
          <w:p w14:paraId="3E98B87F" w14:textId="77777777" w:rsidR="005D72AE" w:rsidRPr="00844A25" w:rsidRDefault="005D72AE" w:rsidP="00FA2A1A">
            <w:pPr>
              <w:rPr>
                <w:lang w:val="en-US"/>
              </w:rPr>
            </w:pPr>
            <w:r w:rsidRPr="00844A25">
              <w:rPr>
                <w:lang w:val="en-US"/>
              </w:rPr>
              <w:t>832</w:t>
            </w:r>
          </w:p>
        </w:tc>
      </w:tr>
      <w:tr w:rsidR="005D72AE" w:rsidRPr="00844A25" w14:paraId="60B80712" w14:textId="77777777" w:rsidTr="00FA2A1A">
        <w:trPr>
          <w:trHeight w:val="287"/>
        </w:trPr>
        <w:tc>
          <w:tcPr>
            <w:cnfStyle w:val="000010000000" w:firstRow="0" w:lastRow="0" w:firstColumn="0" w:lastColumn="0" w:oddVBand="1" w:evenVBand="0" w:oddHBand="0" w:evenHBand="0" w:firstRowFirstColumn="0" w:firstRowLastColumn="0" w:lastRowFirstColumn="0" w:lastRowLastColumn="0"/>
            <w:tcW w:w="6594" w:type="dxa"/>
          </w:tcPr>
          <w:p w14:paraId="5F1E5B4B" w14:textId="77777777" w:rsidR="005D72AE" w:rsidRPr="00844A25" w:rsidRDefault="005D72AE" w:rsidP="00FA2A1A">
            <w:pPr>
              <w:rPr>
                <w:lang w:val="en-US"/>
              </w:rPr>
            </w:pPr>
            <w:r w:rsidRPr="00844A25">
              <w:rPr>
                <w:lang w:val="en-US"/>
              </w:rPr>
              <w:t>Motor vehicles under lease (2019: finance lease)</w:t>
            </w:r>
          </w:p>
        </w:tc>
        <w:tc>
          <w:tcPr>
            <w:cnfStyle w:val="000001000000" w:firstRow="0" w:lastRow="0" w:firstColumn="0" w:lastColumn="0" w:oddVBand="0" w:evenVBand="1" w:oddHBand="0" w:evenHBand="0" w:firstRowFirstColumn="0" w:firstRowLastColumn="0" w:lastRowFirstColumn="0" w:lastRowLastColumn="0"/>
            <w:tcW w:w="1455" w:type="dxa"/>
            <w:shd w:val="clear" w:color="auto" w:fill="F2F2F2" w:themeFill="background1" w:themeFillShade="F2"/>
          </w:tcPr>
          <w:p w14:paraId="2AA12C4E" w14:textId="77777777" w:rsidR="005D72AE" w:rsidRPr="00844A25" w:rsidRDefault="005D72AE" w:rsidP="00FA2A1A">
            <w:pPr>
              <w:rPr>
                <w:lang w:val="en-US"/>
              </w:rPr>
            </w:pPr>
            <w:r w:rsidRPr="00844A25">
              <w:rPr>
                <w:lang w:val="en-US"/>
              </w:rPr>
              <w:t>9,173</w:t>
            </w:r>
          </w:p>
        </w:tc>
        <w:tc>
          <w:tcPr>
            <w:cnfStyle w:val="000010000000" w:firstRow="0" w:lastRow="0" w:firstColumn="0" w:lastColumn="0" w:oddVBand="1" w:evenVBand="0" w:oddHBand="0" w:evenHBand="0" w:firstRowFirstColumn="0" w:firstRowLastColumn="0" w:lastRowFirstColumn="0" w:lastRowLastColumn="0"/>
            <w:tcW w:w="1455" w:type="dxa"/>
          </w:tcPr>
          <w:p w14:paraId="042D80EF" w14:textId="77777777" w:rsidR="005D72AE" w:rsidRPr="00844A25" w:rsidRDefault="005D72AE" w:rsidP="00FA2A1A">
            <w:pPr>
              <w:rPr>
                <w:lang w:val="en-US"/>
              </w:rPr>
            </w:pPr>
            <w:r w:rsidRPr="00844A25">
              <w:rPr>
                <w:lang w:val="en-US"/>
              </w:rPr>
              <w:t>13,248</w:t>
            </w:r>
          </w:p>
        </w:tc>
      </w:tr>
      <w:tr w:rsidR="005D72AE" w:rsidRPr="00844A25" w14:paraId="7DA9ED36" w14:textId="77777777" w:rsidTr="00FA2A1A">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6594" w:type="dxa"/>
          </w:tcPr>
          <w:p w14:paraId="0EF42ADD" w14:textId="77777777" w:rsidR="005D72AE" w:rsidRPr="005C59A6" w:rsidRDefault="005D72AE" w:rsidP="00FA2A1A">
            <w:pPr>
              <w:rPr>
                <w:b/>
                <w:bCs/>
                <w:lang w:val="en-US"/>
              </w:rPr>
            </w:pPr>
            <w:r w:rsidRPr="005C59A6">
              <w:rPr>
                <w:b/>
                <w:bCs/>
                <w:lang w:val="en-US"/>
              </w:rPr>
              <w:t>Total depreciation and amortisation</w:t>
            </w:r>
          </w:p>
        </w:tc>
        <w:tc>
          <w:tcPr>
            <w:cnfStyle w:val="000001000000" w:firstRow="0" w:lastRow="0" w:firstColumn="0" w:lastColumn="0" w:oddVBand="0" w:evenVBand="1" w:oddHBand="0" w:evenHBand="0" w:firstRowFirstColumn="0" w:firstRowLastColumn="0" w:lastRowFirstColumn="0" w:lastRowLastColumn="0"/>
            <w:tcW w:w="1455" w:type="dxa"/>
            <w:shd w:val="clear" w:color="auto" w:fill="F2F2F2" w:themeFill="background1" w:themeFillShade="F2"/>
          </w:tcPr>
          <w:p w14:paraId="481D1449" w14:textId="77777777" w:rsidR="005D72AE" w:rsidRPr="005C59A6" w:rsidRDefault="005D72AE" w:rsidP="00FA2A1A">
            <w:pPr>
              <w:rPr>
                <w:b/>
                <w:bCs/>
                <w:lang w:val="en-US"/>
              </w:rPr>
            </w:pPr>
            <w:r w:rsidRPr="005C59A6">
              <w:rPr>
                <w:b/>
                <w:bCs/>
                <w:lang w:val="en-US"/>
              </w:rPr>
              <w:t>316,512</w:t>
            </w:r>
          </w:p>
        </w:tc>
        <w:tc>
          <w:tcPr>
            <w:cnfStyle w:val="000010000000" w:firstRow="0" w:lastRow="0" w:firstColumn="0" w:lastColumn="0" w:oddVBand="1" w:evenVBand="0" w:oddHBand="0" w:evenHBand="0" w:firstRowFirstColumn="0" w:firstRowLastColumn="0" w:lastRowFirstColumn="0" w:lastRowLastColumn="0"/>
            <w:tcW w:w="1455" w:type="dxa"/>
          </w:tcPr>
          <w:p w14:paraId="1EA0109C" w14:textId="77777777" w:rsidR="005D72AE" w:rsidRPr="005C59A6" w:rsidRDefault="005D72AE" w:rsidP="00FA2A1A">
            <w:pPr>
              <w:rPr>
                <w:b/>
                <w:bCs/>
                <w:lang w:val="en-US"/>
              </w:rPr>
            </w:pPr>
            <w:r w:rsidRPr="005C59A6">
              <w:rPr>
                <w:b/>
                <w:bCs/>
                <w:lang w:val="en-US"/>
              </w:rPr>
              <w:t>35,374</w:t>
            </w:r>
          </w:p>
        </w:tc>
      </w:tr>
    </w:tbl>
    <w:p w14:paraId="7AFE27D3" w14:textId="77777777" w:rsidR="005D72AE" w:rsidRPr="00844A25" w:rsidRDefault="005D72AE" w:rsidP="005D72AE">
      <w:pPr>
        <w:rPr>
          <w:i/>
          <w:iCs/>
          <w:lang w:val="en-US"/>
        </w:rPr>
      </w:pPr>
      <w:r w:rsidRPr="00844A25">
        <w:rPr>
          <w:i/>
          <w:iCs/>
          <w:lang w:val="en-US"/>
        </w:rPr>
        <w:t>(a) The table incorporates depreciation of right-of-use assets as AASB 16 Leases has been applied for the first time from 1 July 2019.</w:t>
      </w:r>
    </w:p>
    <w:p w14:paraId="034AC98F" w14:textId="77777777" w:rsidR="005D72AE" w:rsidRPr="00844A25" w:rsidRDefault="005D72AE" w:rsidP="005D72AE">
      <w:pPr>
        <w:rPr>
          <w:lang w:val="en-US"/>
        </w:rPr>
      </w:pPr>
      <w:r w:rsidRPr="00844A25">
        <w:rPr>
          <w:i/>
          <w:iCs/>
          <w:lang w:val="en-US"/>
        </w:rPr>
        <w:t>(b) From 1 November 2019, lease payments on the commission’s accommodation are recognised in DTF’s Administered items, following the implementation of the Centralised Accommodation Management strategy across the whole of government. The Centralised Accommodation Management strategy is described in</w:t>
      </w:r>
      <w:r>
        <w:rPr>
          <w:i/>
          <w:iCs/>
          <w:lang w:val="en-US"/>
        </w:rPr>
        <w:t xml:space="preserve"> </w:t>
      </w:r>
      <w:r w:rsidRPr="00844A25">
        <w:rPr>
          <w:i/>
          <w:iCs/>
          <w:lang w:val="en-US"/>
        </w:rPr>
        <w:t>Note 9.2.1.</w:t>
      </w:r>
    </w:p>
    <w:p w14:paraId="672328D2" w14:textId="77777777" w:rsidR="005D72AE" w:rsidRPr="00844A25" w:rsidRDefault="005D72AE" w:rsidP="005D72AE">
      <w:pPr>
        <w:rPr>
          <w:lang w:val="en-US"/>
        </w:rPr>
      </w:pPr>
      <w:r w:rsidRPr="00844A25">
        <w:rPr>
          <w:lang w:val="en-US"/>
        </w:rPr>
        <w:t xml:space="preserve">All plant and equipment and intangible produced assets that have finite useful lives are depreciated. </w:t>
      </w:r>
    </w:p>
    <w:p w14:paraId="4AE1F122" w14:textId="77777777" w:rsidR="005D72AE" w:rsidRPr="00844A25" w:rsidRDefault="005D72AE" w:rsidP="005D72AE">
      <w:pPr>
        <w:rPr>
          <w:lang w:val="en-US"/>
        </w:rPr>
      </w:pPr>
      <w:r w:rsidRPr="00844A25">
        <w:rPr>
          <w:lang w:val="en-US"/>
        </w:rPr>
        <w:t>Depreciation is calculated on a straight line basis at rates that allocate the asset’s value, less any estimated residual value, over its expected useful life.</w:t>
      </w:r>
    </w:p>
    <w:p w14:paraId="58EC84F5" w14:textId="77777777" w:rsidR="005D72AE" w:rsidRPr="00844A25" w:rsidRDefault="005D72AE" w:rsidP="005D72AE">
      <w:pPr>
        <w:rPr>
          <w:lang w:val="en-US"/>
        </w:rPr>
      </w:pPr>
      <w:r w:rsidRPr="00844A25">
        <w:rPr>
          <w:lang w:val="en-US"/>
        </w:rPr>
        <w:t>Leasehold improvements are depreciated over the period of the lease or estimated useful life, whichever is the shorter, using the straight line method.</w:t>
      </w:r>
    </w:p>
    <w:p w14:paraId="04B5A285" w14:textId="77777777" w:rsidR="005D72AE" w:rsidRPr="00844A25" w:rsidRDefault="005D72AE" w:rsidP="005D72AE">
      <w:pPr>
        <w:rPr>
          <w:lang w:val="en-US"/>
        </w:rPr>
      </w:pPr>
      <w:r w:rsidRPr="00844A25">
        <w:rPr>
          <w:lang w:val="en-US"/>
        </w:rPr>
        <w:t>Intangible produced assets with finite useful lives are depreciated as an expense from transactions on a straight line basis over the asset’s useful life. Depreciation begins when the asset is available for use, that is, when it is in the location and condition necessary for it to be capable of operating in the manner intended by management.</w:t>
      </w:r>
    </w:p>
    <w:p w14:paraId="472870ED" w14:textId="77777777" w:rsidR="005D72AE" w:rsidRPr="00844A25" w:rsidRDefault="005D72AE" w:rsidP="005D72AE">
      <w:pPr>
        <w:rPr>
          <w:lang w:val="en-US"/>
        </w:rPr>
      </w:pPr>
      <w:r w:rsidRPr="00844A25">
        <w:rPr>
          <w:lang w:val="en-US"/>
        </w:rPr>
        <w:t>Typical estimated useful lives applicable for the years ended 30 June 2020 and 30 June 2019 are as follows:</w:t>
      </w:r>
    </w:p>
    <w:tbl>
      <w:tblPr>
        <w:tblStyle w:val="PlainTable2"/>
        <w:tblW w:w="9396" w:type="dxa"/>
        <w:tblLayout w:type="fixed"/>
        <w:tblLook w:val="0000" w:firstRow="0" w:lastRow="0" w:firstColumn="0" w:lastColumn="0" w:noHBand="0" w:noVBand="0"/>
      </w:tblPr>
      <w:tblGrid>
        <w:gridCol w:w="7090"/>
        <w:gridCol w:w="2306"/>
      </w:tblGrid>
      <w:tr w:rsidR="005D72AE" w:rsidRPr="00844A25" w14:paraId="08C5D12B" w14:textId="77777777" w:rsidTr="00FA2A1A">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7090" w:type="dxa"/>
          </w:tcPr>
          <w:p w14:paraId="75811F2B" w14:textId="77777777" w:rsidR="005D72AE" w:rsidRPr="005C59A6" w:rsidRDefault="005D72AE" w:rsidP="00FA2A1A">
            <w:pPr>
              <w:rPr>
                <w:lang w:val="en-US"/>
              </w:rPr>
            </w:pPr>
            <w:r w:rsidRPr="005C59A6">
              <w:rPr>
                <w:lang w:val="en-US"/>
              </w:rPr>
              <w:t>Leasehold improvements</w:t>
            </w:r>
          </w:p>
        </w:tc>
        <w:tc>
          <w:tcPr>
            <w:cnfStyle w:val="000001000000" w:firstRow="0" w:lastRow="0" w:firstColumn="0" w:lastColumn="0" w:oddVBand="0" w:evenVBand="1" w:oddHBand="0" w:evenHBand="0" w:firstRowFirstColumn="0" w:firstRowLastColumn="0" w:lastRowFirstColumn="0" w:lastRowLastColumn="0"/>
            <w:tcW w:w="2306" w:type="dxa"/>
          </w:tcPr>
          <w:p w14:paraId="7595A41D" w14:textId="77777777" w:rsidR="005D72AE" w:rsidRPr="005C59A6" w:rsidRDefault="005D72AE" w:rsidP="00FA2A1A">
            <w:pPr>
              <w:rPr>
                <w:lang w:val="en-US"/>
              </w:rPr>
            </w:pPr>
            <w:r w:rsidRPr="005C59A6">
              <w:rPr>
                <w:lang w:val="en-US"/>
              </w:rPr>
              <w:t>4-10 years</w:t>
            </w:r>
          </w:p>
        </w:tc>
      </w:tr>
      <w:tr w:rsidR="005D72AE" w:rsidRPr="00844A25" w14:paraId="4F58A290" w14:textId="77777777" w:rsidTr="00FA2A1A">
        <w:trPr>
          <w:trHeight w:val="113"/>
        </w:trPr>
        <w:tc>
          <w:tcPr>
            <w:cnfStyle w:val="000010000000" w:firstRow="0" w:lastRow="0" w:firstColumn="0" w:lastColumn="0" w:oddVBand="1" w:evenVBand="0" w:oddHBand="0" w:evenHBand="0" w:firstRowFirstColumn="0" w:firstRowLastColumn="0" w:lastRowFirstColumn="0" w:lastRowLastColumn="0"/>
            <w:tcW w:w="7090" w:type="dxa"/>
          </w:tcPr>
          <w:p w14:paraId="27F61000" w14:textId="77777777" w:rsidR="005D72AE" w:rsidRPr="00844A25" w:rsidRDefault="005D72AE" w:rsidP="00FA2A1A">
            <w:pPr>
              <w:rPr>
                <w:lang w:val="en-US"/>
              </w:rPr>
            </w:pPr>
            <w:r w:rsidRPr="00844A25">
              <w:rPr>
                <w:lang w:val="en-US"/>
              </w:rPr>
              <w:t>Office and computer equipment</w:t>
            </w:r>
          </w:p>
        </w:tc>
        <w:tc>
          <w:tcPr>
            <w:cnfStyle w:val="000001000000" w:firstRow="0" w:lastRow="0" w:firstColumn="0" w:lastColumn="0" w:oddVBand="0" w:evenVBand="1" w:oddHBand="0" w:evenHBand="0" w:firstRowFirstColumn="0" w:firstRowLastColumn="0" w:lastRowFirstColumn="0" w:lastRowLastColumn="0"/>
            <w:tcW w:w="2306" w:type="dxa"/>
          </w:tcPr>
          <w:p w14:paraId="25D09E60" w14:textId="77777777" w:rsidR="005D72AE" w:rsidRPr="00844A25" w:rsidRDefault="005D72AE" w:rsidP="00FA2A1A">
            <w:pPr>
              <w:rPr>
                <w:lang w:val="en-US"/>
              </w:rPr>
            </w:pPr>
            <w:r w:rsidRPr="00844A25">
              <w:rPr>
                <w:lang w:val="en-US"/>
              </w:rPr>
              <w:t>3-10 years</w:t>
            </w:r>
          </w:p>
        </w:tc>
      </w:tr>
      <w:tr w:rsidR="005D72AE" w:rsidRPr="00844A25" w14:paraId="4C43C0C5" w14:textId="77777777" w:rsidTr="00FA2A1A">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7090" w:type="dxa"/>
          </w:tcPr>
          <w:p w14:paraId="1661586A" w14:textId="77777777" w:rsidR="005D72AE" w:rsidRPr="00844A25" w:rsidRDefault="005D72AE" w:rsidP="00FA2A1A">
            <w:pPr>
              <w:rPr>
                <w:lang w:val="en-US"/>
              </w:rPr>
            </w:pPr>
            <w:r w:rsidRPr="00844A25">
              <w:rPr>
                <w:lang w:val="en-US"/>
              </w:rPr>
              <w:t>Motor vehicles under finance lease</w:t>
            </w:r>
          </w:p>
        </w:tc>
        <w:tc>
          <w:tcPr>
            <w:cnfStyle w:val="000001000000" w:firstRow="0" w:lastRow="0" w:firstColumn="0" w:lastColumn="0" w:oddVBand="0" w:evenVBand="1" w:oddHBand="0" w:evenHBand="0" w:firstRowFirstColumn="0" w:firstRowLastColumn="0" w:lastRowFirstColumn="0" w:lastRowLastColumn="0"/>
            <w:tcW w:w="2306" w:type="dxa"/>
          </w:tcPr>
          <w:p w14:paraId="2F8995C7" w14:textId="77777777" w:rsidR="005D72AE" w:rsidRPr="00844A25" w:rsidRDefault="005D72AE" w:rsidP="00FA2A1A">
            <w:pPr>
              <w:rPr>
                <w:lang w:val="en-US"/>
              </w:rPr>
            </w:pPr>
            <w:r w:rsidRPr="00844A25">
              <w:rPr>
                <w:lang w:val="en-US"/>
              </w:rPr>
              <w:t>2-3 years</w:t>
            </w:r>
          </w:p>
        </w:tc>
      </w:tr>
      <w:tr w:rsidR="005D72AE" w:rsidRPr="00844A25" w14:paraId="56991BCF" w14:textId="77777777" w:rsidTr="00FA2A1A">
        <w:trPr>
          <w:trHeight w:val="454"/>
        </w:trPr>
        <w:tc>
          <w:tcPr>
            <w:cnfStyle w:val="000010000000" w:firstRow="0" w:lastRow="0" w:firstColumn="0" w:lastColumn="0" w:oddVBand="1" w:evenVBand="0" w:oddHBand="0" w:evenHBand="0" w:firstRowFirstColumn="0" w:firstRowLastColumn="0" w:lastRowFirstColumn="0" w:lastRowLastColumn="0"/>
            <w:tcW w:w="7090" w:type="dxa"/>
          </w:tcPr>
          <w:p w14:paraId="5E47185C" w14:textId="77777777" w:rsidR="005D72AE" w:rsidRPr="00844A25" w:rsidRDefault="005D72AE" w:rsidP="00FA2A1A">
            <w:pPr>
              <w:rPr>
                <w:lang w:val="en-US"/>
              </w:rPr>
            </w:pPr>
            <w:r w:rsidRPr="00844A25">
              <w:rPr>
                <w:lang w:val="en-US"/>
              </w:rPr>
              <w:t>Capitalised software development</w:t>
            </w:r>
          </w:p>
        </w:tc>
        <w:tc>
          <w:tcPr>
            <w:cnfStyle w:val="000001000000" w:firstRow="0" w:lastRow="0" w:firstColumn="0" w:lastColumn="0" w:oddVBand="0" w:evenVBand="1" w:oddHBand="0" w:evenHBand="0" w:firstRowFirstColumn="0" w:firstRowLastColumn="0" w:lastRowFirstColumn="0" w:lastRowLastColumn="0"/>
            <w:tcW w:w="2306" w:type="dxa"/>
          </w:tcPr>
          <w:p w14:paraId="687E769C" w14:textId="77777777" w:rsidR="005D72AE" w:rsidRPr="00844A25" w:rsidRDefault="005D72AE" w:rsidP="00FA2A1A">
            <w:pPr>
              <w:rPr>
                <w:lang w:val="en-US"/>
              </w:rPr>
            </w:pPr>
            <w:r w:rsidRPr="00844A25">
              <w:rPr>
                <w:lang w:val="en-US"/>
              </w:rPr>
              <w:t>3-7 years</w:t>
            </w:r>
          </w:p>
        </w:tc>
      </w:tr>
    </w:tbl>
    <w:p w14:paraId="4ACCA592" w14:textId="77777777" w:rsidR="005D72AE" w:rsidRPr="00844A25" w:rsidRDefault="005D72AE" w:rsidP="005D72AE">
      <w:pPr>
        <w:rPr>
          <w:lang w:val="en-US"/>
        </w:rPr>
      </w:pPr>
      <w:r w:rsidRPr="00844A25">
        <w:rPr>
          <w:lang w:val="en-US"/>
        </w:rPr>
        <w:t>The estimated useful lives, residual values and depreciation method are reviewed at least annually.</w:t>
      </w:r>
    </w:p>
    <w:p w14:paraId="27F8B5EC" w14:textId="77777777" w:rsidR="005D72AE" w:rsidRPr="00844A25" w:rsidRDefault="005D72AE" w:rsidP="005D72AE">
      <w:pPr>
        <w:pStyle w:val="Heading3"/>
      </w:pPr>
      <w:r w:rsidRPr="00844A25">
        <w:t>Impairment of non-financial assets</w:t>
      </w:r>
    </w:p>
    <w:p w14:paraId="0B67D716" w14:textId="77777777" w:rsidR="005D72AE" w:rsidRPr="00844A25" w:rsidRDefault="005D72AE" w:rsidP="005D72AE">
      <w:pPr>
        <w:rPr>
          <w:lang w:val="en-US"/>
        </w:rPr>
      </w:pPr>
      <w:r w:rsidRPr="00844A25">
        <w:rPr>
          <w:lang w:val="en-US"/>
        </w:rPr>
        <w:t>All non-financial physical assets and intangible assets, except non-financial physical assets held for sale, are assessed annually for indications of impairment. If there is an indication of impairment, the assets concerned are tested as to whether their carrying value exceeds their recoverable amount.</w:t>
      </w:r>
      <w:r>
        <w:rPr>
          <w:lang w:val="en-US"/>
        </w:rPr>
        <w:t xml:space="preserve"> </w:t>
      </w:r>
      <w:r w:rsidRPr="00844A25">
        <w:rPr>
          <w:lang w:val="en-US"/>
        </w:rPr>
        <w:t>Where an asset’s carrying value exceeds its recoverable amount, the difference is written off to other economic flows except to the extent that the write-down can be debited to an asset revaluation surplus amount applicable to that class</w:t>
      </w:r>
      <w:r>
        <w:rPr>
          <w:lang w:val="en-US"/>
        </w:rPr>
        <w:t xml:space="preserve"> </w:t>
      </w:r>
      <w:r w:rsidRPr="00844A25">
        <w:rPr>
          <w:lang w:val="en-US"/>
        </w:rPr>
        <w:t>of asset.</w:t>
      </w:r>
    </w:p>
    <w:p w14:paraId="29B30AE2" w14:textId="77777777" w:rsidR="005D72AE" w:rsidRPr="00844A25" w:rsidRDefault="005D72AE" w:rsidP="005D72AE">
      <w:pPr>
        <w:rPr>
          <w:lang w:val="en-US"/>
        </w:rPr>
      </w:pPr>
      <w:r w:rsidRPr="00844A25">
        <w:rPr>
          <w:lang w:val="en-US"/>
        </w:rPr>
        <w:lastRenderedPageBreak/>
        <w:t>If there is an indication that there has been a reversal in the estimate of an asset’s recoverable amount since the last impairment loss was recognised, the carrying amount shall be increased to its recoverable amount. The impairment loss is reversed only to the extent that the asset’s carrying amount does not exceed the carrying amount that would have been determined, net of depreciation or amortisation, if no impairment</w:t>
      </w:r>
      <w:r>
        <w:rPr>
          <w:lang w:val="en-US"/>
        </w:rPr>
        <w:t xml:space="preserve"> </w:t>
      </w:r>
      <w:r w:rsidRPr="00844A25">
        <w:rPr>
          <w:lang w:val="en-US"/>
        </w:rPr>
        <w:t>loss had been recognised in prior years.</w:t>
      </w:r>
    </w:p>
    <w:p w14:paraId="54B55A2A" w14:textId="77777777" w:rsidR="005D72AE" w:rsidRPr="00844A25" w:rsidRDefault="005D72AE" w:rsidP="005D72AE">
      <w:pPr>
        <w:pStyle w:val="Heading4"/>
      </w:pPr>
      <w:r w:rsidRPr="00844A25">
        <w:t>5.1.2. Reconciliation of movements in carrying values of property, plant and equipment</w:t>
      </w:r>
    </w:p>
    <w:tbl>
      <w:tblPr>
        <w:tblStyle w:val="PlainTable2"/>
        <w:tblW w:w="0" w:type="auto"/>
        <w:tblLayout w:type="fixed"/>
        <w:tblLook w:val="0000" w:firstRow="0" w:lastRow="0" w:firstColumn="0" w:lastColumn="0" w:noHBand="0" w:noVBand="0"/>
      </w:tblPr>
      <w:tblGrid>
        <w:gridCol w:w="1899"/>
        <w:gridCol w:w="1304"/>
        <w:gridCol w:w="1191"/>
        <w:gridCol w:w="1134"/>
        <w:gridCol w:w="1225"/>
        <w:gridCol w:w="1134"/>
        <w:gridCol w:w="1134"/>
        <w:gridCol w:w="1134"/>
      </w:tblGrid>
      <w:tr w:rsidR="005D72AE" w:rsidRPr="00844A25" w14:paraId="1EC0D3C8" w14:textId="77777777" w:rsidTr="00FA2A1A">
        <w:trPr>
          <w:cnfStyle w:val="000000100000" w:firstRow="0" w:lastRow="0" w:firstColumn="0" w:lastColumn="0" w:oddVBand="0" w:evenVBand="0" w:oddHBand="1" w:evenHBand="0" w:firstRowFirstColumn="0" w:firstRowLastColumn="0" w:lastRowFirstColumn="0" w:lastRowLastColumn="0"/>
          <w:trHeight w:val="730"/>
        </w:trPr>
        <w:tc>
          <w:tcPr>
            <w:cnfStyle w:val="000010000000" w:firstRow="0" w:lastRow="0" w:firstColumn="0" w:lastColumn="0" w:oddVBand="1" w:evenVBand="0" w:oddHBand="0" w:evenHBand="0" w:firstRowFirstColumn="0" w:firstRowLastColumn="0" w:lastRowFirstColumn="0" w:lastRowLastColumn="0"/>
            <w:tcW w:w="1899" w:type="dxa"/>
          </w:tcPr>
          <w:p w14:paraId="4C50E3D6" w14:textId="77777777" w:rsidR="005D72AE" w:rsidRPr="0064463C" w:rsidRDefault="005D72AE" w:rsidP="00FA2A1A">
            <w:pPr>
              <w:rPr>
                <w:b/>
                <w:bCs/>
                <w:sz w:val="20"/>
                <w:szCs w:val="15"/>
                <w:lang w:val="en-GB"/>
              </w:rPr>
            </w:pPr>
          </w:p>
        </w:tc>
        <w:tc>
          <w:tcPr>
            <w:cnfStyle w:val="000001000000" w:firstRow="0" w:lastRow="0" w:firstColumn="0" w:lastColumn="0" w:oddVBand="0" w:evenVBand="1" w:oddHBand="0" w:evenHBand="0" w:firstRowFirstColumn="0" w:firstRowLastColumn="0" w:lastRowFirstColumn="0" w:lastRowLastColumn="0"/>
            <w:tcW w:w="1304" w:type="dxa"/>
          </w:tcPr>
          <w:p w14:paraId="564155C4" w14:textId="77777777" w:rsidR="005D72AE" w:rsidRPr="0064463C" w:rsidRDefault="005D72AE" w:rsidP="00FA2A1A">
            <w:pPr>
              <w:rPr>
                <w:b/>
                <w:bCs/>
                <w:sz w:val="20"/>
                <w:szCs w:val="15"/>
                <w:lang w:val="en-US"/>
              </w:rPr>
            </w:pPr>
            <w:r w:rsidRPr="0064463C">
              <w:rPr>
                <w:b/>
                <w:bCs/>
                <w:sz w:val="20"/>
                <w:szCs w:val="15"/>
                <w:lang w:val="en-US"/>
              </w:rPr>
              <w:t>Buildings</w:t>
            </w:r>
          </w:p>
        </w:tc>
        <w:tc>
          <w:tcPr>
            <w:cnfStyle w:val="000010000000" w:firstRow="0" w:lastRow="0" w:firstColumn="0" w:lastColumn="0" w:oddVBand="1" w:evenVBand="0" w:oddHBand="0" w:evenHBand="0" w:firstRowFirstColumn="0" w:firstRowLastColumn="0" w:lastRowFirstColumn="0" w:lastRowLastColumn="0"/>
            <w:tcW w:w="1191" w:type="dxa"/>
          </w:tcPr>
          <w:p w14:paraId="238435EB" w14:textId="77777777" w:rsidR="005D72AE" w:rsidRPr="0064463C" w:rsidRDefault="005D72AE" w:rsidP="00FA2A1A">
            <w:pPr>
              <w:rPr>
                <w:b/>
                <w:bCs/>
                <w:sz w:val="20"/>
                <w:szCs w:val="15"/>
                <w:lang w:val="en-US"/>
              </w:rPr>
            </w:pPr>
            <w:r w:rsidRPr="0064463C">
              <w:rPr>
                <w:b/>
                <w:bCs/>
                <w:sz w:val="20"/>
                <w:szCs w:val="15"/>
                <w:lang w:val="en-US"/>
              </w:rPr>
              <w:t>Leasehold improvements</w:t>
            </w:r>
          </w:p>
        </w:tc>
        <w:tc>
          <w:tcPr>
            <w:cnfStyle w:val="000001000000" w:firstRow="0" w:lastRow="0" w:firstColumn="0" w:lastColumn="0" w:oddVBand="0" w:evenVBand="1" w:oddHBand="0" w:evenHBand="0" w:firstRowFirstColumn="0" w:firstRowLastColumn="0" w:lastRowFirstColumn="0" w:lastRowLastColumn="0"/>
            <w:tcW w:w="1134" w:type="dxa"/>
          </w:tcPr>
          <w:p w14:paraId="22153990" w14:textId="77777777" w:rsidR="005D72AE" w:rsidRPr="0064463C" w:rsidRDefault="005D72AE" w:rsidP="00FA2A1A">
            <w:pPr>
              <w:rPr>
                <w:b/>
                <w:bCs/>
                <w:sz w:val="20"/>
                <w:szCs w:val="15"/>
                <w:lang w:val="en-US"/>
              </w:rPr>
            </w:pPr>
            <w:r w:rsidRPr="0064463C">
              <w:rPr>
                <w:b/>
                <w:bCs/>
                <w:sz w:val="20"/>
                <w:szCs w:val="15"/>
                <w:lang w:val="en-US"/>
              </w:rPr>
              <w:t>Office and computer equipment</w:t>
            </w:r>
          </w:p>
        </w:tc>
        <w:tc>
          <w:tcPr>
            <w:cnfStyle w:val="000010000000" w:firstRow="0" w:lastRow="0" w:firstColumn="0" w:lastColumn="0" w:oddVBand="1" w:evenVBand="0" w:oddHBand="0" w:evenHBand="0" w:firstRowFirstColumn="0" w:firstRowLastColumn="0" w:lastRowFirstColumn="0" w:lastRowLastColumn="0"/>
            <w:tcW w:w="1225" w:type="dxa"/>
          </w:tcPr>
          <w:p w14:paraId="234DFDD7" w14:textId="77777777" w:rsidR="005D72AE" w:rsidRPr="0064463C" w:rsidRDefault="005D72AE" w:rsidP="00FA2A1A">
            <w:pPr>
              <w:rPr>
                <w:b/>
                <w:bCs/>
                <w:sz w:val="20"/>
                <w:szCs w:val="15"/>
                <w:lang w:val="en-US"/>
              </w:rPr>
            </w:pPr>
            <w:r w:rsidRPr="0064463C">
              <w:rPr>
                <w:b/>
                <w:bCs/>
                <w:sz w:val="20"/>
                <w:szCs w:val="15"/>
                <w:lang w:val="en-US"/>
              </w:rPr>
              <w:t>Motor vehicles under lease (2019: finance lease)</w:t>
            </w:r>
          </w:p>
        </w:tc>
        <w:tc>
          <w:tcPr>
            <w:cnfStyle w:val="000001000000" w:firstRow="0" w:lastRow="0" w:firstColumn="0" w:lastColumn="0" w:oddVBand="0" w:evenVBand="1" w:oddHBand="0" w:evenHBand="0" w:firstRowFirstColumn="0" w:firstRowLastColumn="0" w:lastRowFirstColumn="0" w:lastRowLastColumn="0"/>
            <w:tcW w:w="1134" w:type="dxa"/>
          </w:tcPr>
          <w:p w14:paraId="020FE140" w14:textId="77777777" w:rsidR="005D72AE" w:rsidRPr="0064463C" w:rsidRDefault="005D72AE" w:rsidP="00FA2A1A">
            <w:pPr>
              <w:rPr>
                <w:b/>
                <w:bCs/>
                <w:sz w:val="20"/>
                <w:szCs w:val="15"/>
                <w:lang w:val="en-US"/>
              </w:rPr>
            </w:pPr>
            <w:r w:rsidRPr="0064463C">
              <w:rPr>
                <w:b/>
                <w:bCs/>
                <w:sz w:val="20"/>
                <w:szCs w:val="15"/>
                <w:lang w:val="en-US"/>
              </w:rPr>
              <w:t>Construction in Progress – Building</w:t>
            </w:r>
          </w:p>
        </w:tc>
        <w:tc>
          <w:tcPr>
            <w:cnfStyle w:val="000010000000" w:firstRow="0" w:lastRow="0" w:firstColumn="0" w:lastColumn="0" w:oddVBand="1" w:evenVBand="0" w:oddHBand="0" w:evenHBand="0" w:firstRowFirstColumn="0" w:firstRowLastColumn="0" w:lastRowFirstColumn="0" w:lastRowLastColumn="0"/>
            <w:tcW w:w="1134" w:type="dxa"/>
          </w:tcPr>
          <w:p w14:paraId="3640F3F2" w14:textId="77777777" w:rsidR="005D72AE" w:rsidRPr="0064463C" w:rsidRDefault="005D72AE" w:rsidP="00FA2A1A">
            <w:pPr>
              <w:rPr>
                <w:b/>
                <w:bCs/>
                <w:sz w:val="20"/>
                <w:szCs w:val="15"/>
                <w:lang w:val="en-US"/>
              </w:rPr>
            </w:pPr>
            <w:r w:rsidRPr="0064463C">
              <w:rPr>
                <w:b/>
                <w:bCs/>
                <w:sz w:val="20"/>
                <w:szCs w:val="15"/>
                <w:lang w:val="en-US"/>
              </w:rPr>
              <w:t>Construction in Progress – Plant &amp; Equipment</w:t>
            </w:r>
          </w:p>
        </w:tc>
        <w:tc>
          <w:tcPr>
            <w:cnfStyle w:val="000001000000" w:firstRow="0" w:lastRow="0" w:firstColumn="0" w:lastColumn="0" w:oddVBand="0" w:evenVBand="1" w:oddHBand="0" w:evenHBand="0" w:firstRowFirstColumn="0" w:firstRowLastColumn="0" w:lastRowFirstColumn="0" w:lastRowLastColumn="0"/>
            <w:tcW w:w="1134" w:type="dxa"/>
          </w:tcPr>
          <w:p w14:paraId="74DB5E62" w14:textId="77777777" w:rsidR="005D72AE" w:rsidRPr="0064463C" w:rsidRDefault="005D72AE" w:rsidP="00FA2A1A">
            <w:pPr>
              <w:rPr>
                <w:b/>
                <w:bCs/>
                <w:sz w:val="20"/>
                <w:szCs w:val="15"/>
                <w:lang w:val="en-US"/>
              </w:rPr>
            </w:pPr>
            <w:r w:rsidRPr="0064463C">
              <w:rPr>
                <w:b/>
                <w:bCs/>
                <w:sz w:val="20"/>
                <w:szCs w:val="15"/>
                <w:lang w:val="en-US"/>
              </w:rPr>
              <w:t>Total</w:t>
            </w:r>
          </w:p>
        </w:tc>
      </w:tr>
      <w:tr w:rsidR="005D72AE" w:rsidRPr="00844A25" w14:paraId="2DF14D35" w14:textId="77777777" w:rsidTr="00FA2A1A">
        <w:trPr>
          <w:trHeight w:val="276"/>
        </w:trPr>
        <w:tc>
          <w:tcPr>
            <w:cnfStyle w:val="000010000000" w:firstRow="0" w:lastRow="0" w:firstColumn="0" w:lastColumn="0" w:oddVBand="1" w:evenVBand="0" w:oddHBand="0" w:evenHBand="0" w:firstRowFirstColumn="0" w:firstRowLastColumn="0" w:lastRowFirstColumn="0" w:lastRowLastColumn="0"/>
            <w:tcW w:w="1899" w:type="dxa"/>
          </w:tcPr>
          <w:p w14:paraId="668974FF" w14:textId="77777777" w:rsidR="005D72AE" w:rsidRPr="007D3625"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304" w:type="dxa"/>
          </w:tcPr>
          <w:p w14:paraId="425A5691" w14:textId="77777777" w:rsidR="005D72AE" w:rsidRPr="007D3625" w:rsidRDefault="005D72AE" w:rsidP="00FA2A1A">
            <w:pPr>
              <w:rPr>
                <w:b/>
                <w:bCs/>
                <w:lang w:val="en-US"/>
              </w:rPr>
            </w:pPr>
            <w:r w:rsidRPr="007D3625">
              <w:rPr>
                <w:b/>
                <w:bCs/>
                <w:lang w:val="en-US"/>
              </w:rPr>
              <w:t>$</w:t>
            </w:r>
          </w:p>
        </w:tc>
        <w:tc>
          <w:tcPr>
            <w:cnfStyle w:val="000010000000" w:firstRow="0" w:lastRow="0" w:firstColumn="0" w:lastColumn="0" w:oddVBand="1" w:evenVBand="0" w:oddHBand="0" w:evenHBand="0" w:firstRowFirstColumn="0" w:firstRowLastColumn="0" w:lastRowFirstColumn="0" w:lastRowLastColumn="0"/>
            <w:tcW w:w="1191" w:type="dxa"/>
          </w:tcPr>
          <w:p w14:paraId="1EB7E327" w14:textId="77777777" w:rsidR="005D72AE" w:rsidRPr="007D3625" w:rsidRDefault="005D72AE" w:rsidP="00FA2A1A">
            <w:pPr>
              <w:rPr>
                <w:b/>
                <w:bCs/>
                <w:lang w:val="en-US"/>
              </w:rPr>
            </w:pPr>
            <w:r w:rsidRPr="007D3625">
              <w:rPr>
                <w:b/>
                <w:bCs/>
                <w:lang w:val="en-US"/>
              </w:rPr>
              <w:t>$</w:t>
            </w:r>
          </w:p>
        </w:tc>
        <w:tc>
          <w:tcPr>
            <w:cnfStyle w:val="000001000000" w:firstRow="0" w:lastRow="0" w:firstColumn="0" w:lastColumn="0" w:oddVBand="0" w:evenVBand="1" w:oddHBand="0" w:evenHBand="0" w:firstRowFirstColumn="0" w:firstRowLastColumn="0" w:lastRowFirstColumn="0" w:lastRowLastColumn="0"/>
            <w:tcW w:w="1134" w:type="dxa"/>
          </w:tcPr>
          <w:p w14:paraId="0F9206EB" w14:textId="77777777" w:rsidR="005D72AE" w:rsidRPr="007D3625" w:rsidRDefault="005D72AE" w:rsidP="00FA2A1A">
            <w:pPr>
              <w:rPr>
                <w:b/>
                <w:bCs/>
                <w:lang w:val="en-US"/>
              </w:rPr>
            </w:pPr>
            <w:r w:rsidRPr="007D3625">
              <w:rPr>
                <w:b/>
                <w:bCs/>
                <w:lang w:val="en-US"/>
              </w:rPr>
              <w:t>$</w:t>
            </w:r>
          </w:p>
        </w:tc>
        <w:tc>
          <w:tcPr>
            <w:cnfStyle w:val="000010000000" w:firstRow="0" w:lastRow="0" w:firstColumn="0" w:lastColumn="0" w:oddVBand="1" w:evenVBand="0" w:oddHBand="0" w:evenHBand="0" w:firstRowFirstColumn="0" w:firstRowLastColumn="0" w:lastRowFirstColumn="0" w:lastRowLastColumn="0"/>
            <w:tcW w:w="1225" w:type="dxa"/>
          </w:tcPr>
          <w:p w14:paraId="70201E3D" w14:textId="77777777" w:rsidR="005D72AE" w:rsidRPr="007D3625" w:rsidRDefault="005D72AE" w:rsidP="00FA2A1A">
            <w:pPr>
              <w:rPr>
                <w:b/>
                <w:bCs/>
                <w:lang w:val="en-US"/>
              </w:rPr>
            </w:pPr>
            <w:r w:rsidRPr="007D3625">
              <w:rPr>
                <w:b/>
                <w:bCs/>
                <w:lang w:val="en-US"/>
              </w:rPr>
              <w:t>$</w:t>
            </w:r>
          </w:p>
        </w:tc>
        <w:tc>
          <w:tcPr>
            <w:cnfStyle w:val="000001000000" w:firstRow="0" w:lastRow="0" w:firstColumn="0" w:lastColumn="0" w:oddVBand="0" w:evenVBand="1" w:oddHBand="0" w:evenHBand="0" w:firstRowFirstColumn="0" w:firstRowLastColumn="0" w:lastRowFirstColumn="0" w:lastRowLastColumn="0"/>
            <w:tcW w:w="1134" w:type="dxa"/>
          </w:tcPr>
          <w:p w14:paraId="1B350532" w14:textId="77777777" w:rsidR="005D72AE" w:rsidRPr="007D3625" w:rsidRDefault="005D72AE" w:rsidP="00FA2A1A">
            <w:pPr>
              <w:rPr>
                <w:b/>
                <w:bCs/>
                <w:lang w:val="en-US"/>
              </w:rPr>
            </w:pPr>
            <w:r w:rsidRPr="007D3625">
              <w:rPr>
                <w:b/>
                <w:bCs/>
                <w:lang w:val="en-US"/>
              </w:rPr>
              <w:t>$</w:t>
            </w:r>
          </w:p>
        </w:tc>
        <w:tc>
          <w:tcPr>
            <w:cnfStyle w:val="000010000000" w:firstRow="0" w:lastRow="0" w:firstColumn="0" w:lastColumn="0" w:oddVBand="1" w:evenVBand="0" w:oddHBand="0" w:evenHBand="0" w:firstRowFirstColumn="0" w:firstRowLastColumn="0" w:lastRowFirstColumn="0" w:lastRowLastColumn="0"/>
            <w:tcW w:w="1134" w:type="dxa"/>
          </w:tcPr>
          <w:p w14:paraId="5C150C87" w14:textId="77777777" w:rsidR="005D72AE" w:rsidRPr="007D3625" w:rsidRDefault="005D72AE" w:rsidP="00FA2A1A">
            <w:pPr>
              <w:rPr>
                <w:b/>
                <w:bCs/>
                <w:lang w:val="en-US"/>
              </w:rPr>
            </w:pPr>
            <w:r w:rsidRPr="007D3625">
              <w:rPr>
                <w:b/>
                <w:bCs/>
                <w:lang w:val="en-US"/>
              </w:rPr>
              <w:t>$</w:t>
            </w:r>
          </w:p>
        </w:tc>
        <w:tc>
          <w:tcPr>
            <w:cnfStyle w:val="000001000000" w:firstRow="0" w:lastRow="0" w:firstColumn="0" w:lastColumn="0" w:oddVBand="0" w:evenVBand="1" w:oddHBand="0" w:evenHBand="0" w:firstRowFirstColumn="0" w:firstRowLastColumn="0" w:lastRowFirstColumn="0" w:lastRowLastColumn="0"/>
            <w:tcW w:w="1134" w:type="dxa"/>
          </w:tcPr>
          <w:p w14:paraId="2E8E8E2E" w14:textId="77777777" w:rsidR="005D72AE" w:rsidRPr="007D3625" w:rsidRDefault="005D72AE" w:rsidP="00FA2A1A">
            <w:pPr>
              <w:rPr>
                <w:b/>
                <w:bCs/>
                <w:lang w:val="en-US"/>
              </w:rPr>
            </w:pPr>
            <w:r w:rsidRPr="007D3625">
              <w:rPr>
                <w:b/>
                <w:bCs/>
                <w:lang w:val="en-US"/>
              </w:rPr>
              <w:t>$</w:t>
            </w:r>
          </w:p>
        </w:tc>
      </w:tr>
      <w:tr w:rsidR="005D72AE" w:rsidRPr="00844A25" w14:paraId="1DD30EF0" w14:textId="77777777" w:rsidTr="00FA2A1A">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1899" w:type="dxa"/>
          </w:tcPr>
          <w:p w14:paraId="1D2BC392" w14:textId="77777777" w:rsidR="005D72AE" w:rsidRPr="007D3625" w:rsidRDefault="005D72AE" w:rsidP="00FA2A1A">
            <w:pPr>
              <w:rPr>
                <w:b/>
                <w:bCs/>
                <w:lang w:val="en-US"/>
              </w:rPr>
            </w:pPr>
            <w:r w:rsidRPr="007D3625">
              <w:rPr>
                <w:b/>
                <w:bCs/>
                <w:lang w:val="en-US"/>
              </w:rPr>
              <w:t>2020</w:t>
            </w:r>
          </w:p>
        </w:tc>
        <w:tc>
          <w:tcPr>
            <w:cnfStyle w:val="000001000000" w:firstRow="0" w:lastRow="0" w:firstColumn="0" w:lastColumn="0" w:oddVBand="0" w:evenVBand="1" w:oddHBand="0" w:evenHBand="0" w:firstRowFirstColumn="0" w:firstRowLastColumn="0" w:lastRowFirstColumn="0" w:lastRowLastColumn="0"/>
            <w:tcW w:w="1304" w:type="dxa"/>
          </w:tcPr>
          <w:p w14:paraId="32FA7F4C" w14:textId="77777777" w:rsidR="005D72AE" w:rsidRPr="007D3625"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1191" w:type="dxa"/>
          </w:tcPr>
          <w:p w14:paraId="4EF2567B" w14:textId="77777777" w:rsidR="005D72AE" w:rsidRPr="007D3625"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134" w:type="dxa"/>
          </w:tcPr>
          <w:p w14:paraId="41EC9EA6" w14:textId="77777777" w:rsidR="005D72AE" w:rsidRPr="007D3625"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1225" w:type="dxa"/>
          </w:tcPr>
          <w:p w14:paraId="2D8F2AB6" w14:textId="77777777" w:rsidR="005D72AE" w:rsidRPr="007D3625"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134" w:type="dxa"/>
          </w:tcPr>
          <w:p w14:paraId="68664AE0" w14:textId="77777777" w:rsidR="005D72AE" w:rsidRPr="007D3625"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1134" w:type="dxa"/>
          </w:tcPr>
          <w:p w14:paraId="37536D82" w14:textId="77777777" w:rsidR="005D72AE" w:rsidRPr="007D3625"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134" w:type="dxa"/>
          </w:tcPr>
          <w:p w14:paraId="169CF0EA" w14:textId="77777777" w:rsidR="005D72AE" w:rsidRPr="007D3625" w:rsidRDefault="005D72AE" w:rsidP="00FA2A1A">
            <w:pPr>
              <w:rPr>
                <w:b/>
                <w:bCs/>
                <w:lang w:val="en-GB"/>
              </w:rPr>
            </w:pPr>
          </w:p>
        </w:tc>
      </w:tr>
      <w:tr w:rsidR="005D72AE" w:rsidRPr="00844A25" w14:paraId="6EFE993F" w14:textId="77777777" w:rsidTr="00FA2A1A">
        <w:trPr>
          <w:trHeight w:val="276"/>
        </w:trPr>
        <w:tc>
          <w:tcPr>
            <w:cnfStyle w:val="000010000000" w:firstRow="0" w:lastRow="0" w:firstColumn="0" w:lastColumn="0" w:oddVBand="1" w:evenVBand="0" w:oddHBand="0" w:evenHBand="0" w:firstRowFirstColumn="0" w:firstRowLastColumn="0" w:lastRowFirstColumn="0" w:lastRowLastColumn="0"/>
            <w:tcW w:w="1899" w:type="dxa"/>
          </w:tcPr>
          <w:p w14:paraId="44F0BD11" w14:textId="77777777" w:rsidR="005D72AE" w:rsidRPr="00844A25" w:rsidRDefault="005D72AE" w:rsidP="00FA2A1A">
            <w:pPr>
              <w:rPr>
                <w:lang w:val="en-US"/>
              </w:rPr>
            </w:pPr>
            <w:r w:rsidRPr="00844A25">
              <w:rPr>
                <w:lang w:val="en-US"/>
              </w:rPr>
              <w:t xml:space="preserve">Carrying amount at start of year </w:t>
            </w:r>
            <w:r w:rsidRPr="00844A25">
              <w:rPr>
                <w:vertAlign w:val="superscript"/>
                <w:lang w:val="en-US"/>
              </w:rPr>
              <w:t>(a)</w:t>
            </w:r>
          </w:p>
        </w:tc>
        <w:tc>
          <w:tcPr>
            <w:cnfStyle w:val="000001000000" w:firstRow="0" w:lastRow="0" w:firstColumn="0" w:lastColumn="0" w:oddVBand="0" w:evenVBand="1" w:oddHBand="0" w:evenHBand="0" w:firstRowFirstColumn="0" w:firstRowLastColumn="0" w:lastRowFirstColumn="0" w:lastRowLastColumn="0"/>
            <w:tcW w:w="1304" w:type="dxa"/>
          </w:tcPr>
          <w:p w14:paraId="629211A3"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191" w:type="dxa"/>
          </w:tcPr>
          <w:p w14:paraId="18BB799A" w14:textId="77777777" w:rsidR="005D72AE" w:rsidRPr="00844A25" w:rsidRDefault="005D72AE" w:rsidP="00FA2A1A">
            <w:pPr>
              <w:rPr>
                <w:lang w:val="en-US"/>
              </w:rPr>
            </w:pPr>
            <w:r w:rsidRPr="00844A25">
              <w:rPr>
                <w:lang w:val="en-US"/>
              </w:rPr>
              <w:t>56,784</w:t>
            </w:r>
          </w:p>
        </w:tc>
        <w:tc>
          <w:tcPr>
            <w:cnfStyle w:val="000001000000" w:firstRow="0" w:lastRow="0" w:firstColumn="0" w:lastColumn="0" w:oddVBand="0" w:evenVBand="1" w:oddHBand="0" w:evenHBand="0" w:firstRowFirstColumn="0" w:firstRowLastColumn="0" w:lastRowFirstColumn="0" w:lastRowLastColumn="0"/>
            <w:tcW w:w="1134" w:type="dxa"/>
          </w:tcPr>
          <w:p w14:paraId="6B34C52F"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225" w:type="dxa"/>
          </w:tcPr>
          <w:p w14:paraId="627D9DC6" w14:textId="77777777" w:rsidR="005D72AE" w:rsidRPr="00844A25" w:rsidRDefault="005D72AE" w:rsidP="00FA2A1A">
            <w:pPr>
              <w:rPr>
                <w:lang w:val="en-US"/>
              </w:rPr>
            </w:pPr>
            <w:r w:rsidRPr="00844A25">
              <w:rPr>
                <w:lang w:val="en-US"/>
              </w:rPr>
              <w:t>15,986</w:t>
            </w:r>
          </w:p>
        </w:tc>
        <w:tc>
          <w:tcPr>
            <w:cnfStyle w:val="000001000000" w:firstRow="0" w:lastRow="0" w:firstColumn="0" w:lastColumn="0" w:oddVBand="0" w:evenVBand="1" w:oddHBand="0" w:evenHBand="0" w:firstRowFirstColumn="0" w:firstRowLastColumn="0" w:lastRowFirstColumn="0" w:lastRowLastColumn="0"/>
            <w:tcW w:w="1134" w:type="dxa"/>
          </w:tcPr>
          <w:p w14:paraId="081A9EF5" w14:textId="77777777" w:rsidR="005D72AE" w:rsidRPr="00844A25" w:rsidRDefault="005D72AE" w:rsidP="00FA2A1A">
            <w:pPr>
              <w:rPr>
                <w:lang w:val="en-US"/>
              </w:rPr>
            </w:pPr>
            <w:r w:rsidRPr="00844A25">
              <w:rPr>
                <w:lang w:val="en-US"/>
              </w:rPr>
              <w:t>139,716</w:t>
            </w:r>
          </w:p>
        </w:tc>
        <w:tc>
          <w:tcPr>
            <w:cnfStyle w:val="000010000000" w:firstRow="0" w:lastRow="0" w:firstColumn="0" w:lastColumn="0" w:oddVBand="1" w:evenVBand="0" w:oddHBand="0" w:evenHBand="0" w:firstRowFirstColumn="0" w:firstRowLastColumn="0" w:lastRowFirstColumn="0" w:lastRowLastColumn="0"/>
            <w:tcW w:w="1134" w:type="dxa"/>
          </w:tcPr>
          <w:p w14:paraId="0050D14F" w14:textId="77777777" w:rsidR="005D72AE" w:rsidRPr="00844A25" w:rsidRDefault="005D72AE" w:rsidP="00FA2A1A">
            <w:pPr>
              <w:rPr>
                <w:lang w:val="en-US"/>
              </w:rPr>
            </w:pPr>
            <w:r w:rsidRPr="00844A25">
              <w:rPr>
                <w:lang w:val="en-US"/>
              </w:rPr>
              <w:t>37,902</w:t>
            </w:r>
          </w:p>
        </w:tc>
        <w:tc>
          <w:tcPr>
            <w:cnfStyle w:val="000001000000" w:firstRow="0" w:lastRow="0" w:firstColumn="0" w:lastColumn="0" w:oddVBand="0" w:evenVBand="1" w:oddHBand="0" w:evenHBand="0" w:firstRowFirstColumn="0" w:firstRowLastColumn="0" w:lastRowFirstColumn="0" w:lastRowLastColumn="0"/>
            <w:tcW w:w="1134" w:type="dxa"/>
          </w:tcPr>
          <w:p w14:paraId="377A6EEF" w14:textId="77777777" w:rsidR="005D72AE" w:rsidRPr="00844A25" w:rsidRDefault="005D72AE" w:rsidP="00FA2A1A">
            <w:pPr>
              <w:rPr>
                <w:lang w:val="en-US"/>
              </w:rPr>
            </w:pPr>
            <w:r w:rsidRPr="00844A25">
              <w:rPr>
                <w:lang w:val="en-US"/>
              </w:rPr>
              <w:t>250,388</w:t>
            </w:r>
          </w:p>
        </w:tc>
      </w:tr>
      <w:tr w:rsidR="005D72AE" w:rsidRPr="00844A25" w14:paraId="71A8149D" w14:textId="77777777" w:rsidTr="00FA2A1A">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1899" w:type="dxa"/>
          </w:tcPr>
          <w:p w14:paraId="3849E69F" w14:textId="77777777" w:rsidR="005D72AE" w:rsidRPr="00844A25" w:rsidRDefault="005D72AE" w:rsidP="00FA2A1A">
            <w:pPr>
              <w:rPr>
                <w:lang w:val="en-US"/>
              </w:rPr>
            </w:pPr>
            <w:r w:rsidRPr="00844A25">
              <w:rPr>
                <w:lang w:val="en-US"/>
              </w:rPr>
              <w:t>Recognition of right-</w:t>
            </w:r>
            <w:r>
              <w:rPr>
                <w:lang w:val="en-US"/>
              </w:rPr>
              <w:t xml:space="preserve"> </w:t>
            </w:r>
            <w:r w:rsidRPr="00844A25">
              <w:rPr>
                <w:lang w:val="en-US"/>
              </w:rPr>
              <w:t>of-use assets on</w:t>
            </w:r>
            <w:r>
              <w:rPr>
                <w:lang w:val="en-US"/>
              </w:rPr>
              <w:t xml:space="preserve"> </w:t>
            </w:r>
            <w:r w:rsidRPr="00844A25">
              <w:rPr>
                <w:lang w:val="en-US"/>
              </w:rPr>
              <w:t>initial application</w:t>
            </w:r>
            <w:r>
              <w:rPr>
                <w:lang w:val="en-US"/>
              </w:rPr>
              <w:t xml:space="preserve"> </w:t>
            </w:r>
            <w:r w:rsidRPr="00844A25">
              <w:rPr>
                <w:lang w:val="en-US"/>
              </w:rPr>
              <w:t xml:space="preserve">of AASB 16 </w:t>
            </w:r>
            <w:r w:rsidRPr="00844A25">
              <w:rPr>
                <w:vertAlign w:val="superscript"/>
                <w:lang w:val="en-US"/>
              </w:rPr>
              <w:t>(b)</w:t>
            </w:r>
          </w:p>
        </w:tc>
        <w:tc>
          <w:tcPr>
            <w:cnfStyle w:val="000001000000" w:firstRow="0" w:lastRow="0" w:firstColumn="0" w:lastColumn="0" w:oddVBand="0" w:evenVBand="1" w:oddHBand="0" w:evenHBand="0" w:firstRowFirstColumn="0" w:firstRowLastColumn="0" w:lastRowFirstColumn="0" w:lastRowLastColumn="0"/>
            <w:tcW w:w="1304" w:type="dxa"/>
          </w:tcPr>
          <w:p w14:paraId="0621286C" w14:textId="77777777" w:rsidR="005D72AE" w:rsidRPr="00844A25" w:rsidRDefault="005D72AE" w:rsidP="00FA2A1A">
            <w:pPr>
              <w:rPr>
                <w:lang w:val="en-US"/>
              </w:rPr>
            </w:pPr>
            <w:r w:rsidRPr="00844A25">
              <w:rPr>
                <w:lang w:val="en-US"/>
              </w:rPr>
              <w:t>4,834,480</w:t>
            </w:r>
          </w:p>
        </w:tc>
        <w:tc>
          <w:tcPr>
            <w:cnfStyle w:val="000010000000" w:firstRow="0" w:lastRow="0" w:firstColumn="0" w:lastColumn="0" w:oddVBand="1" w:evenVBand="0" w:oddHBand="0" w:evenHBand="0" w:firstRowFirstColumn="0" w:firstRowLastColumn="0" w:lastRowFirstColumn="0" w:lastRowLastColumn="0"/>
            <w:tcW w:w="1191" w:type="dxa"/>
          </w:tcPr>
          <w:p w14:paraId="411875BA" w14:textId="77777777" w:rsidR="005D72AE" w:rsidRPr="00844A25" w:rsidRDefault="005D72AE" w:rsidP="00FA2A1A">
            <w:pPr>
              <w:rPr>
                <w:lang w:val="en-US"/>
              </w:rPr>
            </w:pPr>
            <w:r w:rsidRPr="00844A25">
              <w:rPr>
                <w:lang w:val="en-US"/>
              </w:rPr>
              <w:t>-</w:t>
            </w:r>
          </w:p>
        </w:tc>
        <w:tc>
          <w:tcPr>
            <w:cnfStyle w:val="000001000000" w:firstRow="0" w:lastRow="0" w:firstColumn="0" w:lastColumn="0" w:oddVBand="0" w:evenVBand="1" w:oddHBand="0" w:evenHBand="0" w:firstRowFirstColumn="0" w:firstRowLastColumn="0" w:lastRowFirstColumn="0" w:lastRowLastColumn="0"/>
            <w:tcW w:w="1134" w:type="dxa"/>
          </w:tcPr>
          <w:p w14:paraId="626926C7"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225" w:type="dxa"/>
          </w:tcPr>
          <w:p w14:paraId="770181B2" w14:textId="77777777" w:rsidR="005D72AE" w:rsidRPr="00844A25" w:rsidRDefault="005D72AE" w:rsidP="00FA2A1A">
            <w:pPr>
              <w:rPr>
                <w:lang w:val="en-US"/>
              </w:rPr>
            </w:pPr>
            <w:r w:rsidRPr="00844A25">
              <w:rPr>
                <w:lang w:val="en-US"/>
              </w:rPr>
              <w:t>-</w:t>
            </w:r>
          </w:p>
        </w:tc>
        <w:tc>
          <w:tcPr>
            <w:cnfStyle w:val="000001000000" w:firstRow="0" w:lastRow="0" w:firstColumn="0" w:lastColumn="0" w:oddVBand="0" w:evenVBand="1" w:oddHBand="0" w:evenHBand="0" w:firstRowFirstColumn="0" w:firstRowLastColumn="0" w:lastRowFirstColumn="0" w:lastRowLastColumn="0"/>
            <w:tcW w:w="1134" w:type="dxa"/>
          </w:tcPr>
          <w:p w14:paraId="0FD98EF7"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134" w:type="dxa"/>
          </w:tcPr>
          <w:p w14:paraId="284E529A" w14:textId="77777777" w:rsidR="005D72AE" w:rsidRPr="00844A25" w:rsidRDefault="005D72AE" w:rsidP="00FA2A1A">
            <w:pPr>
              <w:rPr>
                <w:lang w:val="en-US"/>
              </w:rPr>
            </w:pPr>
            <w:r w:rsidRPr="00844A25">
              <w:rPr>
                <w:lang w:val="en-US"/>
              </w:rPr>
              <w:t>-</w:t>
            </w:r>
          </w:p>
        </w:tc>
        <w:tc>
          <w:tcPr>
            <w:cnfStyle w:val="000001000000" w:firstRow="0" w:lastRow="0" w:firstColumn="0" w:lastColumn="0" w:oddVBand="0" w:evenVBand="1" w:oddHBand="0" w:evenHBand="0" w:firstRowFirstColumn="0" w:firstRowLastColumn="0" w:lastRowFirstColumn="0" w:lastRowLastColumn="0"/>
            <w:tcW w:w="1134" w:type="dxa"/>
          </w:tcPr>
          <w:p w14:paraId="5FC3B29D" w14:textId="77777777" w:rsidR="005D72AE" w:rsidRPr="00844A25" w:rsidRDefault="005D72AE" w:rsidP="00FA2A1A">
            <w:pPr>
              <w:rPr>
                <w:lang w:val="en-US"/>
              </w:rPr>
            </w:pPr>
            <w:r w:rsidRPr="00844A25">
              <w:rPr>
                <w:lang w:val="en-US"/>
              </w:rPr>
              <w:t>4,834,480</w:t>
            </w:r>
          </w:p>
        </w:tc>
      </w:tr>
      <w:tr w:rsidR="005D72AE" w:rsidRPr="00844A25" w14:paraId="2F823118" w14:textId="77777777" w:rsidTr="00FA2A1A">
        <w:trPr>
          <w:trHeight w:val="276"/>
        </w:trPr>
        <w:tc>
          <w:tcPr>
            <w:cnfStyle w:val="000010000000" w:firstRow="0" w:lastRow="0" w:firstColumn="0" w:lastColumn="0" w:oddVBand="1" w:evenVBand="0" w:oddHBand="0" w:evenHBand="0" w:firstRowFirstColumn="0" w:firstRowLastColumn="0" w:lastRowFirstColumn="0" w:lastRowLastColumn="0"/>
            <w:tcW w:w="1899" w:type="dxa"/>
          </w:tcPr>
          <w:p w14:paraId="582BB43C" w14:textId="77777777" w:rsidR="005D72AE" w:rsidRPr="00844A25" w:rsidRDefault="005D72AE" w:rsidP="00FA2A1A">
            <w:pPr>
              <w:rPr>
                <w:lang w:val="en-US"/>
              </w:rPr>
            </w:pPr>
            <w:r w:rsidRPr="00844A25">
              <w:rPr>
                <w:lang w:val="en-US"/>
              </w:rPr>
              <w:t>Additions</w:t>
            </w:r>
          </w:p>
        </w:tc>
        <w:tc>
          <w:tcPr>
            <w:cnfStyle w:val="000001000000" w:firstRow="0" w:lastRow="0" w:firstColumn="0" w:lastColumn="0" w:oddVBand="0" w:evenVBand="1" w:oddHBand="0" w:evenHBand="0" w:firstRowFirstColumn="0" w:firstRowLastColumn="0" w:lastRowFirstColumn="0" w:lastRowLastColumn="0"/>
            <w:tcW w:w="1304" w:type="dxa"/>
          </w:tcPr>
          <w:p w14:paraId="1FAE3C8A"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191" w:type="dxa"/>
          </w:tcPr>
          <w:p w14:paraId="7A552C55" w14:textId="77777777" w:rsidR="005D72AE" w:rsidRPr="00844A25" w:rsidRDefault="005D72AE" w:rsidP="00FA2A1A">
            <w:pPr>
              <w:rPr>
                <w:lang w:val="en-US"/>
              </w:rPr>
            </w:pPr>
            <w:r w:rsidRPr="00844A25">
              <w:rPr>
                <w:lang w:val="en-US"/>
              </w:rPr>
              <w:t>24,590</w:t>
            </w:r>
          </w:p>
        </w:tc>
        <w:tc>
          <w:tcPr>
            <w:cnfStyle w:val="000001000000" w:firstRow="0" w:lastRow="0" w:firstColumn="0" w:lastColumn="0" w:oddVBand="0" w:evenVBand="1" w:oddHBand="0" w:evenHBand="0" w:firstRowFirstColumn="0" w:firstRowLastColumn="0" w:lastRowFirstColumn="0" w:lastRowLastColumn="0"/>
            <w:tcW w:w="1134" w:type="dxa"/>
          </w:tcPr>
          <w:p w14:paraId="3092AD8B" w14:textId="77777777" w:rsidR="005D72AE" w:rsidRPr="00844A25" w:rsidRDefault="005D72AE" w:rsidP="00FA2A1A">
            <w:pPr>
              <w:rPr>
                <w:lang w:val="en-US"/>
              </w:rPr>
            </w:pPr>
            <w:r w:rsidRPr="00844A25">
              <w:rPr>
                <w:lang w:val="en-US"/>
              </w:rPr>
              <w:t>13,168</w:t>
            </w:r>
          </w:p>
        </w:tc>
        <w:tc>
          <w:tcPr>
            <w:cnfStyle w:val="000010000000" w:firstRow="0" w:lastRow="0" w:firstColumn="0" w:lastColumn="0" w:oddVBand="1" w:evenVBand="0" w:oddHBand="0" w:evenHBand="0" w:firstRowFirstColumn="0" w:firstRowLastColumn="0" w:lastRowFirstColumn="0" w:lastRowLastColumn="0"/>
            <w:tcW w:w="1225" w:type="dxa"/>
          </w:tcPr>
          <w:p w14:paraId="0618804C" w14:textId="77777777" w:rsidR="005D72AE" w:rsidRPr="00844A25" w:rsidRDefault="005D72AE" w:rsidP="00FA2A1A">
            <w:pPr>
              <w:rPr>
                <w:lang w:val="en-US"/>
              </w:rPr>
            </w:pPr>
            <w:r w:rsidRPr="00844A25">
              <w:rPr>
                <w:lang w:val="en-US"/>
              </w:rPr>
              <w:t>118,264</w:t>
            </w:r>
          </w:p>
        </w:tc>
        <w:tc>
          <w:tcPr>
            <w:cnfStyle w:val="000001000000" w:firstRow="0" w:lastRow="0" w:firstColumn="0" w:lastColumn="0" w:oddVBand="0" w:evenVBand="1" w:oddHBand="0" w:evenHBand="0" w:firstRowFirstColumn="0" w:firstRowLastColumn="0" w:lastRowFirstColumn="0" w:lastRowLastColumn="0"/>
            <w:tcW w:w="1134" w:type="dxa"/>
          </w:tcPr>
          <w:p w14:paraId="74FE8C11"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134" w:type="dxa"/>
          </w:tcPr>
          <w:p w14:paraId="64506BAC" w14:textId="77777777" w:rsidR="005D72AE" w:rsidRPr="00844A25" w:rsidRDefault="005D72AE" w:rsidP="00FA2A1A">
            <w:pPr>
              <w:rPr>
                <w:lang w:val="en-US"/>
              </w:rPr>
            </w:pPr>
            <w:r w:rsidRPr="00844A25">
              <w:rPr>
                <w:lang w:val="en-US"/>
              </w:rPr>
              <w:t>-</w:t>
            </w:r>
          </w:p>
        </w:tc>
        <w:tc>
          <w:tcPr>
            <w:cnfStyle w:val="000001000000" w:firstRow="0" w:lastRow="0" w:firstColumn="0" w:lastColumn="0" w:oddVBand="0" w:evenVBand="1" w:oddHBand="0" w:evenHBand="0" w:firstRowFirstColumn="0" w:firstRowLastColumn="0" w:lastRowFirstColumn="0" w:lastRowLastColumn="0"/>
            <w:tcW w:w="1134" w:type="dxa"/>
          </w:tcPr>
          <w:p w14:paraId="7C3F9D4B" w14:textId="77777777" w:rsidR="005D72AE" w:rsidRPr="00844A25" w:rsidRDefault="005D72AE" w:rsidP="00FA2A1A">
            <w:pPr>
              <w:rPr>
                <w:lang w:val="en-US"/>
              </w:rPr>
            </w:pPr>
            <w:r w:rsidRPr="00844A25">
              <w:rPr>
                <w:lang w:val="en-US"/>
              </w:rPr>
              <w:t>156,022</w:t>
            </w:r>
          </w:p>
        </w:tc>
      </w:tr>
      <w:tr w:rsidR="005D72AE" w:rsidRPr="00844A25" w14:paraId="77CA0AE0" w14:textId="77777777" w:rsidTr="00FA2A1A">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1899" w:type="dxa"/>
          </w:tcPr>
          <w:p w14:paraId="30A24075" w14:textId="77777777" w:rsidR="005D72AE" w:rsidRPr="00844A25" w:rsidRDefault="005D72AE" w:rsidP="00FA2A1A">
            <w:pPr>
              <w:rPr>
                <w:lang w:val="en-US"/>
              </w:rPr>
            </w:pPr>
            <w:r w:rsidRPr="00844A25">
              <w:rPr>
                <w:lang w:val="en-US"/>
              </w:rPr>
              <w:t>Disposals</w:t>
            </w:r>
          </w:p>
        </w:tc>
        <w:tc>
          <w:tcPr>
            <w:cnfStyle w:val="000001000000" w:firstRow="0" w:lastRow="0" w:firstColumn="0" w:lastColumn="0" w:oddVBand="0" w:evenVBand="1" w:oddHBand="0" w:evenHBand="0" w:firstRowFirstColumn="0" w:firstRowLastColumn="0" w:lastRowFirstColumn="0" w:lastRowLastColumn="0"/>
            <w:tcW w:w="1304" w:type="dxa"/>
          </w:tcPr>
          <w:p w14:paraId="5B8FA111"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191" w:type="dxa"/>
          </w:tcPr>
          <w:p w14:paraId="3022FDD7" w14:textId="77777777" w:rsidR="005D72AE" w:rsidRPr="00844A25" w:rsidRDefault="005D72AE" w:rsidP="00FA2A1A">
            <w:pPr>
              <w:rPr>
                <w:lang w:val="en-US"/>
              </w:rPr>
            </w:pPr>
            <w:r w:rsidRPr="00844A25">
              <w:rPr>
                <w:lang w:val="en-US"/>
              </w:rPr>
              <w:t>-</w:t>
            </w:r>
          </w:p>
        </w:tc>
        <w:tc>
          <w:tcPr>
            <w:cnfStyle w:val="000001000000" w:firstRow="0" w:lastRow="0" w:firstColumn="0" w:lastColumn="0" w:oddVBand="0" w:evenVBand="1" w:oddHBand="0" w:evenHBand="0" w:firstRowFirstColumn="0" w:firstRowLastColumn="0" w:lastRowFirstColumn="0" w:lastRowLastColumn="0"/>
            <w:tcW w:w="1134" w:type="dxa"/>
          </w:tcPr>
          <w:p w14:paraId="4970F3D3"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225" w:type="dxa"/>
          </w:tcPr>
          <w:p w14:paraId="0D46D3E0" w14:textId="77777777" w:rsidR="005D72AE" w:rsidRPr="00844A25" w:rsidRDefault="005D72AE" w:rsidP="00FA2A1A">
            <w:pPr>
              <w:rPr>
                <w:lang w:val="en-US"/>
              </w:rPr>
            </w:pPr>
            <w:r w:rsidRPr="00844A25">
              <w:rPr>
                <w:lang w:val="en-US"/>
              </w:rPr>
              <w:t>(40,624)</w:t>
            </w:r>
          </w:p>
        </w:tc>
        <w:tc>
          <w:tcPr>
            <w:cnfStyle w:val="000001000000" w:firstRow="0" w:lastRow="0" w:firstColumn="0" w:lastColumn="0" w:oddVBand="0" w:evenVBand="1" w:oddHBand="0" w:evenHBand="0" w:firstRowFirstColumn="0" w:firstRowLastColumn="0" w:lastRowFirstColumn="0" w:lastRowLastColumn="0"/>
            <w:tcW w:w="1134" w:type="dxa"/>
          </w:tcPr>
          <w:p w14:paraId="713AF344"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134" w:type="dxa"/>
          </w:tcPr>
          <w:p w14:paraId="7D936F0F" w14:textId="77777777" w:rsidR="005D72AE" w:rsidRPr="00844A25" w:rsidRDefault="005D72AE" w:rsidP="00FA2A1A">
            <w:pPr>
              <w:rPr>
                <w:lang w:val="en-US"/>
              </w:rPr>
            </w:pPr>
            <w:r w:rsidRPr="00844A25">
              <w:rPr>
                <w:lang w:val="en-US"/>
              </w:rPr>
              <w:t>-</w:t>
            </w:r>
          </w:p>
        </w:tc>
        <w:tc>
          <w:tcPr>
            <w:cnfStyle w:val="000001000000" w:firstRow="0" w:lastRow="0" w:firstColumn="0" w:lastColumn="0" w:oddVBand="0" w:evenVBand="1" w:oddHBand="0" w:evenHBand="0" w:firstRowFirstColumn="0" w:firstRowLastColumn="0" w:lastRowFirstColumn="0" w:lastRowLastColumn="0"/>
            <w:tcW w:w="1134" w:type="dxa"/>
          </w:tcPr>
          <w:p w14:paraId="1C18A04A" w14:textId="77777777" w:rsidR="005D72AE" w:rsidRPr="00844A25" w:rsidRDefault="005D72AE" w:rsidP="00FA2A1A">
            <w:pPr>
              <w:rPr>
                <w:lang w:val="en-US"/>
              </w:rPr>
            </w:pPr>
            <w:r w:rsidRPr="00844A25">
              <w:rPr>
                <w:lang w:val="en-US"/>
              </w:rPr>
              <w:t>(40,624)</w:t>
            </w:r>
          </w:p>
        </w:tc>
      </w:tr>
      <w:tr w:rsidR="005D72AE" w:rsidRPr="00844A25" w14:paraId="24A49B64" w14:textId="77777777" w:rsidTr="00FA2A1A">
        <w:trPr>
          <w:trHeight w:val="293"/>
        </w:trPr>
        <w:tc>
          <w:tcPr>
            <w:cnfStyle w:val="000010000000" w:firstRow="0" w:lastRow="0" w:firstColumn="0" w:lastColumn="0" w:oddVBand="1" w:evenVBand="0" w:oddHBand="0" w:evenHBand="0" w:firstRowFirstColumn="0" w:firstRowLastColumn="0" w:lastRowFirstColumn="0" w:lastRowLastColumn="0"/>
            <w:tcW w:w="1899" w:type="dxa"/>
          </w:tcPr>
          <w:p w14:paraId="1D1024F8" w14:textId="77777777" w:rsidR="005D72AE" w:rsidRPr="00844A25" w:rsidRDefault="005D72AE" w:rsidP="00FA2A1A">
            <w:pPr>
              <w:rPr>
                <w:lang w:val="en-US"/>
              </w:rPr>
            </w:pPr>
            <w:r w:rsidRPr="00844A25">
              <w:rPr>
                <w:lang w:val="en-US"/>
              </w:rPr>
              <w:t>Depreciation expense</w:t>
            </w:r>
          </w:p>
        </w:tc>
        <w:tc>
          <w:tcPr>
            <w:cnfStyle w:val="000001000000" w:firstRow="0" w:lastRow="0" w:firstColumn="0" w:lastColumn="0" w:oddVBand="0" w:evenVBand="1" w:oddHBand="0" w:evenHBand="0" w:firstRowFirstColumn="0" w:firstRowLastColumn="0" w:lastRowFirstColumn="0" w:lastRowLastColumn="0"/>
            <w:tcW w:w="1304" w:type="dxa"/>
          </w:tcPr>
          <w:p w14:paraId="0F66FFA9" w14:textId="77777777" w:rsidR="005D72AE" w:rsidRPr="00844A25" w:rsidRDefault="005D72AE" w:rsidP="00FA2A1A">
            <w:pPr>
              <w:rPr>
                <w:lang w:val="en-US"/>
              </w:rPr>
            </w:pPr>
            <w:r w:rsidRPr="00844A25">
              <w:rPr>
                <w:lang w:val="en-US"/>
              </w:rPr>
              <w:t>(284,290)</w:t>
            </w:r>
          </w:p>
        </w:tc>
        <w:tc>
          <w:tcPr>
            <w:cnfStyle w:val="000010000000" w:firstRow="0" w:lastRow="0" w:firstColumn="0" w:lastColumn="0" w:oddVBand="1" w:evenVBand="0" w:oddHBand="0" w:evenHBand="0" w:firstRowFirstColumn="0" w:firstRowLastColumn="0" w:lastRowFirstColumn="0" w:lastRowLastColumn="0"/>
            <w:tcW w:w="1191" w:type="dxa"/>
          </w:tcPr>
          <w:p w14:paraId="7D6AA765" w14:textId="77777777" w:rsidR="005D72AE" w:rsidRPr="00844A25" w:rsidRDefault="005D72AE" w:rsidP="00FA2A1A">
            <w:pPr>
              <w:rPr>
                <w:lang w:val="en-US"/>
              </w:rPr>
            </w:pPr>
            <w:r w:rsidRPr="00844A25">
              <w:rPr>
                <w:lang w:val="en-US"/>
              </w:rPr>
              <w:t>(21,293)</w:t>
            </w:r>
          </w:p>
        </w:tc>
        <w:tc>
          <w:tcPr>
            <w:cnfStyle w:val="000001000000" w:firstRow="0" w:lastRow="0" w:firstColumn="0" w:lastColumn="0" w:oddVBand="0" w:evenVBand="1" w:oddHBand="0" w:evenHBand="0" w:firstRowFirstColumn="0" w:firstRowLastColumn="0" w:lastRowFirstColumn="0" w:lastRowLastColumn="0"/>
            <w:tcW w:w="1134" w:type="dxa"/>
          </w:tcPr>
          <w:p w14:paraId="7FA4C5F3" w14:textId="77777777" w:rsidR="005D72AE" w:rsidRPr="00844A25" w:rsidRDefault="005D72AE" w:rsidP="00FA2A1A">
            <w:pPr>
              <w:rPr>
                <w:lang w:val="en-US"/>
              </w:rPr>
            </w:pPr>
            <w:r w:rsidRPr="00844A25">
              <w:rPr>
                <w:lang w:val="en-US"/>
              </w:rPr>
              <w:t>(1,756)</w:t>
            </w:r>
          </w:p>
        </w:tc>
        <w:tc>
          <w:tcPr>
            <w:cnfStyle w:val="000010000000" w:firstRow="0" w:lastRow="0" w:firstColumn="0" w:lastColumn="0" w:oddVBand="1" w:evenVBand="0" w:oddHBand="0" w:evenHBand="0" w:firstRowFirstColumn="0" w:firstRowLastColumn="0" w:lastRowFirstColumn="0" w:lastRowLastColumn="0"/>
            <w:tcW w:w="1225" w:type="dxa"/>
          </w:tcPr>
          <w:p w14:paraId="6F4AE9A5" w14:textId="77777777" w:rsidR="005D72AE" w:rsidRPr="00844A25" w:rsidRDefault="005D72AE" w:rsidP="00FA2A1A">
            <w:pPr>
              <w:rPr>
                <w:lang w:val="en-US"/>
              </w:rPr>
            </w:pPr>
            <w:r w:rsidRPr="00844A25">
              <w:rPr>
                <w:lang w:val="en-US"/>
              </w:rPr>
              <w:t>(9,173)</w:t>
            </w:r>
          </w:p>
        </w:tc>
        <w:tc>
          <w:tcPr>
            <w:cnfStyle w:val="000001000000" w:firstRow="0" w:lastRow="0" w:firstColumn="0" w:lastColumn="0" w:oddVBand="0" w:evenVBand="1" w:oddHBand="0" w:evenHBand="0" w:firstRowFirstColumn="0" w:firstRowLastColumn="0" w:lastRowFirstColumn="0" w:lastRowLastColumn="0"/>
            <w:tcW w:w="1134" w:type="dxa"/>
          </w:tcPr>
          <w:p w14:paraId="27F24E36"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134" w:type="dxa"/>
          </w:tcPr>
          <w:p w14:paraId="15AF3D6B" w14:textId="77777777" w:rsidR="005D72AE" w:rsidRPr="00844A25" w:rsidRDefault="005D72AE" w:rsidP="00FA2A1A">
            <w:pPr>
              <w:rPr>
                <w:lang w:val="en-US"/>
              </w:rPr>
            </w:pPr>
            <w:r w:rsidRPr="00844A25">
              <w:rPr>
                <w:lang w:val="en-US"/>
              </w:rPr>
              <w:t>-</w:t>
            </w:r>
          </w:p>
        </w:tc>
        <w:tc>
          <w:tcPr>
            <w:cnfStyle w:val="000001000000" w:firstRow="0" w:lastRow="0" w:firstColumn="0" w:lastColumn="0" w:oddVBand="0" w:evenVBand="1" w:oddHBand="0" w:evenHBand="0" w:firstRowFirstColumn="0" w:firstRowLastColumn="0" w:lastRowFirstColumn="0" w:lastRowLastColumn="0"/>
            <w:tcW w:w="1134" w:type="dxa"/>
          </w:tcPr>
          <w:p w14:paraId="7ED3F680" w14:textId="77777777" w:rsidR="005D72AE" w:rsidRPr="00844A25" w:rsidRDefault="005D72AE" w:rsidP="00FA2A1A">
            <w:pPr>
              <w:rPr>
                <w:lang w:val="en-US"/>
              </w:rPr>
            </w:pPr>
            <w:r w:rsidRPr="00844A25">
              <w:rPr>
                <w:lang w:val="en-US"/>
              </w:rPr>
              <w:t>(316,512)</w:t>
            </w:r>
          </w:p>
        </w:tc>
      </w:tr>
      <w:tr w:rsidR="005D72AE" w:rsidRPr="00844A25" w14:paraId="4F734D20" w14:textId="77777777" w:rsidTr="00FA2A1A">
        <w:trPr>
          <w:cnfStyle w:val="000000100000" w:firstRow="0" w:lastRow="0" w:firstColumn="0" w:lastColumn="0" w:oddVBand="0" w:evenVBand="0" w:oddHBand="1" w:evenHBand="0" w:firstRowFirstColumn="0" w:firstRowLastColumn="0" w:lastRowFirstColumn="0" w:lastRowLastColumn="0"/>
          <w:trHeight w:val="293"/>
        </w:trPr>
        <w:tc>
          <w:tcPr>
            <w:cnfStyle w:val="000010000000" w:firstRow="0" w:lastRow="0" w:firstColumn="0" w:lastColumn="0" w:oddVBand="1" w:evenVBand="0" w:oddHBand="0" w:evenHBand="0" w:firstRowFirstColumn="0" w:firstRowLastColumn="0" w:lastRowFirstColumn="0" w:lastRowLastColumn="0"/>
            <w:tcW w:w="1899" w:type="dxa"/>
          </w:tcPr>
          <w:p w14:paraId="59EA0DCA" w14:textId="77777777" w:rsidR="005D72AE" w:rsidRPr="00844A25" w:rsidRDefault="005D72AE" w:rsidP="00FA2A1A">
            <w:pPr>
              <w:rPr>
                <w:lang w:val="en-US"/>
              </w:rPr>
            </w:pPr>
            <w:r w:rsidRPr="00844A25">
              <w:rPr>
                <w:lang w:val="en-US"/>
              </w:rPr>
              <w:t>Transfers to held</w:t>
            </w:r>
            <w:r>
              <w:rPr>
                <w:lang w:val="en-US"/>
              </w:rPr>
              <w:t xml:space="preserve"> </w:t>
            </w:r>
            <w:r w:rsidRPr="00844A25">
              <w:rPr>
                <w:lang w:val="en-US"/>
              </w:rPr>
              <w:t>for sale</w:t>
            </w:r>
          </w:p>
        </w:tc>
        <w:tc>
          <w:tcPr>
            <w:cnfStyle w:val="000001000000" w:firstRow="0" w:lastRow="0" w:firstColumn="0" w:lastColumn="0" w:oddVBand="0" w:evenVBand="1" w:oddHBand="0" w:evenHBand="0" w:firstRowFirstColumn="0" w:firstRowLastColumn="0" w:lastRowFirstColumn="0" w:lastRowLastColumn="0"/>
            <w:tcW w:w="1304" w:type="dxa"/>
          </w:tcPr>
          <w:p w14:paraId="031FDCA6"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191" w:type="dxa"/>
          </w:tcPr>
          <w:p w14:paraId="78606CBF" w14:textId="77777777" w:rsidR="005D72AE" w:rsidRPr="00844A25" w:rsidRDefault="005D72AE" w:rsidP="00FA2A1A">
            <w:pPr>
              <w:rPr>
                <w:lang w:val="en-US"/>
              </w:rPr>
            </w:pPr>
            <w:r w:rsidRPr="00844A25">
              <w:rPr>
                <w:lang w:val="en-US"/>
              </w:rPr>
              <w:t>-</w:t>
            </w:r>
          </w:p>
        </w:tc>
        <w:tc>
          <w:tcPr>
            <w:cnfStyle w:val="000001000000" w:firstRow="0" w:lastRow="0" w:firstColumn="0" w:lastColumn="0" w:oddVBand="0" w:evenVBand="1" w:oddHBand="0" w:evenHBand="0" w:firstRowFirstColumn="0" w:firstRowLastColumn="0" w:lastRowFirstColumn="0" w:lastRowLastColumn="0"/>
            <w:tcW w:w="1134" w:type="dxa"/>
          </w:tcPr>
          <w:p w14:paraId="2638CE2E"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225" w:type="dxa"/>
          </w:tcPr>
          <w:p w14:paraId="6C4A8FC1" w14:textId="77777777" w:rsidR="005D72AE" w:rsidRPr="00844A25" w:rsidRDefault="005D72AE" w:rsidP="00FA2A1A">
            <w:pPr>
              <w:rPr>
                <w:lang w:val="en-US"/>
              </w:rPr>
            </w:pPr>
            <w:r w:rsidRPr="00844A25">
              <w:rPr>
                <w:lang w:val="en-US"/>
              </w:rPr>
              <w:t>-</w:t>
            </w:r>
          </w:p>
        </w:tc>
        <w:tc>
          <w:tcPr>
            <w:cnfStyle w:val="000001000000" w:firstRow="0" w:lastRow="0" w:firstColumn="0" w:lastColumn="0" w:oddVBand="0" w:evenVBand="1" w:oddHBand="0" w:evenHBand="0" w:firstRowFirstColumn="0" w:firstRowLastColumn="0" w:lastRowFirstColumn="0" w:lastRowLastColumn="0"/>
            <w:tcW w:w="1134" w:type="dxa"/>
          </w:tcPr>
          <w:p w14:paraId="0379BF2D"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134" w:type="dxa"/>
          </w:tcPr>
          <w:p w14:paraId="70A7CFBA" w14:textId="77777777" w:rsidR="005D72AE" w:rsidRPr="00844A25" w:rsidRDefault="005D72AE" w:rsidP="00FA2A1A">
            <w:pPr>
              <w:rPr>
                <w:lang w:val="en-US"/>
              </w:rPr>
            </w:pPr>
            <w:r w:rsidRPr="00844A25">
              <w:rPr>
                <w:lang w:val="en-US"/>
              </w:rPr>
              <w:t>-</w:t>
            </w:r>
          </w:p>
        </w:tc>
        <w:tc>
          <w:tcPr>
            <w:cnfStyle w:val="000001000000" w:firstRow="0" w:lastRow="0" w:firstColumn="0" w:lastColumn="0" w:oddVBand="0" w:evenVBand="1" w:oddHBand="0" w:evenHBand="0" w:firstRowFirstColumn="0" w:firstRowLastColumn="0" w:lastRowFirstColumn="0" w:lastRowLastColumn="0"/>
            <w:tcW w:w="1134" w:type="dxa"/>
          </w:tcPr>
          <w:p w14:paraId="70D8FD1E" w14:textId="77777777" w:rsidR="005D72AE" w:rsidRPr="00844A25" w:rsidRDefault="005D72AE" w:rsidP="00FA2A1A">
            <w:pPr>
              <w:rPr>
                <w:lang w:val="en-US"/>
              </w:rPr>
            </w:pPr>
            <w:r w:rsidRPr="00844A25">
              <w:rPr>
                <w:lang w:val="en-US"/>
              </w:rPr>
              <w:t>-</w:t>
            </w:r>
          </w:p>
        </w:tc>
      </w:tr>
      <w:tr w:rsidR="005D72AE" w:rsidRPr="00844A25" w14:paraId="012AF406" w14:textId="77777777" w:rsidTr="00FA2A1A">
        <w:trPr>
          <w:trHeight w:val="293"/>
        </w:trPr>
        <w:tc>
          <w:tcPr>
            <w:cnfStyle w:val="000010000000" w:firstRow="0" w:lastRow="0" w:firstColumn="0" w:lastColumn="0" w:oddVBand="1" w:evenVBand="0" w:oddHBand="0" w:evenHBand="0" w:firstRowFirstColumn="0" w:firstRowLastColumn="0" w:lastRowFirstColumn="0" w:lastRowLastColumn="0"/>
            <w:tcW w:w="1899" w:type="dxa"/>
          </w:tcPr>
          <w:p w14:paraId="1562ADC1" w14:textId="77777777" w:rsidR="005D72AE" w:rsidRPr="00844A25" w:rsidRDefault="005D72AE" w:rsidP="00FA2A1A">
            <w:pPr>
              <w:rPr>
                <w:lang w:val="en-US"/>
              </w:rPr>
            </w:pPr>
            <w:r w:rsidRPr="00844A25">
              <w:rPr>
                <w:lang w:val="en-US"/>
              </w:rPr>
              <w:t xml:space="preserve">Transfers to DTF – Centralised Accommodation Strategy </w:t>
            </w:r>
            <w:r w:rsidRPr="00844A25">
              <w:rPr>
                <w:vertAlign w:val="superscript"/>
                <w:lang w:val="en-US"/>
              </w:rPr>
              <w:t>(c)</w:t>
            </w:r>
          </w:p>
        </w:tc>
        <w:tc>
          <w:tcPr>
            <w:cnfStyle w:val="000001000000" w:firstRow="0" w:lastRow="0" w:firstColumn="0" w:lastColumn="0" w:oddVBand="0" w:evenVBand="1" w:oddHBand="0" w:evenHBand="0" w:firstRowFirstColumn="0" w:firstRowLastColumn="0" w:lastRowFirstColumn="0" w:lastRowLastColumn="0"/>
            <w:tcW w:w="1304" w:type="dxa"/>
          </w:tcPr>
          <w:p w14:paraId="05B07286" w14:textId="77777777" w:rsidR="005D72AE" w:rsidRPr="00844A25" w:rsidRDefault="005D72AE" w:rsidP="00FA2A1A">
            <w:pPr>
              <w:rPr>
                <w:lang w:val="en-US"/>
              </w:rPr>
            </w:pPr>
            <w:r w:rsidRPr="00844A25">
              <w:rPr>
                <w:lang w:val="en-US"/>
              </w:rPr>
              <w:t>(4,550,190)</w:t>
            </w:r>
          </w:p>
        </w:tc>
        <w:tc>
          <w:tcPr>
            <w:cnfStyle w:val="000010000000" w:firstRow="0" w:lastRow="0" w:firstColumn="0" w:lastColumn="0" w:oddVBand="1" w:evenVBand="0" w:oddHBand="0" w:evenHBand="0" w:firstRowFirstColumn="0" w:firstRowLastColumn="0" w:lastRowFirstColumn="0" w:lastRowLastColumn="0"/>
            <w:tcW w:w="1191" w:type="dxa"/>
          </w:tcPr>
          <w:p w14:paraId="5D263500" w14:textId="77777777" w:rsidR="005D72AE" w:rsidRPr="00844A25" w:rsidRDefault="005D72AE" w:rsidP="00FA2A1A">
            <w:pPr>
              <w:rPr>
                <w:lang w:val="en-US"/>
              </w:rPr>
            </w:pPr>
            <w:r w:rsidRPr="00844A25">
              <w:rPr>
                <w:lang w:val="en-US"/>
              </w:rPr>
              <w:t>-</w:t>
            </w:r>
          </w:p>
        </w:tc>
        <w:tc>
          <w:tcPr>
            <w:cnfStyle w:val="000001000000" w:firstRow="0" w:lastRow="0" w:firstColumn="0" w:lastColumn="0" w:oddVBand="0" w:evenVBand="1" w:oddHBand="0" w:evenHBand="0" w:firstRowFirstColumn="0" w:firstRowLastColumn="0" w:lastRowFirstColumn="0" w:lastRowLastColumn="0"/>
            <w:tcW w:w="1134" w:type="dxa"/>
          </w:tcPr>
          <w:p w14:paraId="1DCC354B"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225" w:type="dxa"/>
          </w:tcPr>
          <w:p w14:paraId="3E252E20" w14:textId="77777777" w:rsidR="005D72AE" w:rsidRPr="00844A25" w:rsidRDefault="005D72AE" w:rsidP="00FA2A1A">
            <w:pPr>
              <w:rPr>
                <w:lang w:val="en-US"/>
              </w:rPr>
            </w:pPr>
            <w:r w:rsidRPr="00844A25">
              <w:rPr>
                <w:lang w:val="en-US"/>
              </w:rPr>
              <w:t>-</w:t>
            </w:r>
          </w:p>
        </w:tc>
        <w:tc>
          <w:tcPr>
            <w:cnfStyle w:val="000001000000" w:firstRow="0" w:lastRow="0" w:firstColumn="0" w:lastColumn="0" w:oddVBand="0" w:evenVBand="1" w:oddHBand="0" w:evenHBand="0" w:firstRowFirstColumn="0" w:firstRowLastColumn="0" w:lastRowFirstColumn="0" w:lastRowLastColumn="0"/>
            <w:tcW w:w="1134" w:type="dxa"/>
          </w:tcPr>
          <w:p w14:paraId="33675E16"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134" w:type="dxa"/>
          </w:tcPr>
          <w:p w14:paraId="1F915161" w14:textId="77777777" w:rsidR="005D72AE" w:rsidRPr="00844A25" w:rsidRDefault="005D72AE" w:rsidP="00FA2A1A">
            <w:pPr>
              <w:rPr>
                <w:lang w:val="en-US"/>
              </w:rPr>
            </w:pPr>
            <w:r w:rsidRPr="00844A25">
              <w:rPr>
                <w:lang w:val="en-US"/>
              </w:rPr>
              <w:t>-</w:t>
            </w:r>
          </w:p>
        </w:tc>
        <w:tc>
          <w:tcPr>
            <w:cnfStyle w:val="000001000000" w:firstRow="0" w:lastRow="0" w:firstColumn="0" w:lastColumn="0" w:oddVBand="0" w:evenVBand="1" w:oddHBand="0" w:evenHBand="0" w:firstRowFirstColumn="0" w:firstRowLastColumn="0" w:lastRowFirstColumn="0" w:lastRowLastColumn="0"/>
            <w:tcW w:w="1134" w:type="dxa"/>
          </w:tcPr>
          <w:p w14:paraId="24EBB27C" w14:textId="77777777" w:rsidR="005D72AE" w:rsidRPr="00844A25" w:rsidRDefault="005D72AE" w:rsidP="00FA2A1A">
            <w:pPr>
              <w:rPr>
                <w:lang w:val="en-US"/>
              </w:rPr>
            </w:pPr>
            <w:r w:rsidRPr="00844A25">
              <w:rPr>
                <w:lang w:val="en-US"/>
              </w:rPr>
              <w:t>(4,550,190)</w:t>
            </w:r>
          </w:p>
        </w:tc>
      </w:tr>
      <w:tr w:rsidR="005D72AE" w:rsidRPr="00844A25" w14:paraId="42EB213F" w14:textId="77777777" w:rsidTr="00FA2A1A">
        <w:trPr>
          <w:cnfStyle w:val="000000100000" w:firstRow="0" w:lastRow="0" w:firstColumn="0" w:lastColumn="0" w:oddVBand="0" w:evenVBand="0" w:oddHBand="1" w:evenHBand="0" w:firstRowFirstColumn="0" w:firstRowLastColumn="0" w:lastRowFirstColumn="0" w:lastRowLastColumn="0"/>
          <w:trHeight w:val="368"/>
        </w:trPr>
        <w:tc>
          <w:tcPr>
            <w:cnfStyle w:val="000010000000" w:firstRow="0" w:lastRow="0" w:firstColumn="0" w:lastColumn="0" w:oddVBand="1" w:evenVBand="0" w:oddHBand="0" w:evenHBand="0" w:firstRowFirstColumn="0" w:firstRowLastColumn="0" w:lastRowFirstColumn="0" w:lastRowLastColumn="0"/>
            <w:tcW w:w="1899" w:type="dxa"/>
            <w:shd w:val="clear" w:color="auto" w:fill="F2F2F2" w:themeFill="background1" w:themeFillShade="F2"/>
          </w:tcPr>
          <w:p w14:paraId="67E04DC3" w14:textId="77777777" w:rsidR="005D72AE" w:rsidRPr="00F43169" w:rsidRDefault="005D72AE" w:rsidP="00FA2A1A">
            <w:pPr>
              <w:rPr>
                <w:b/>
                <w:bCs/>
                <w:lang w:val="en-US"/>
              </w:rPr>
            </w:pPr>
            <w:r w:rsidRPr="00F43169">
              <w:rPr>
                <w:b/>
                <w:bCs/>
                <w:lang w:val="en-US"/>
              </w:rPr>
              <w:t xml:space="preserve">Carrying amount at end </w:t>
            </w:r>
            <w:r w:rsidRPr="00F43169">
              <w:rPr>
                <w:b/>
                <w:bCs/>
                <w:lang w:val="en-US"/>
              </w:rPr>
              <w:lastRenderedPageBreak/>
              <w:t>of year</w:t>
            </w:r>
          </w:p>
        </w:tc>
        <w:tc>
          <w:tcPr>
            <w:cnfStyle w:val="000001000000" w:firstRow="0" w:lastRow="0" w:firstColumn="0" w:lastColumn="0" w:oddVBand="0" w:evenVBand="1" w:oddHBand="0" w:evenHBand="0" w:firstRowFirstColumn="0" w:firstRowLastColumn="0" w:lastRowFirstColumn="0" w:lastRowLastColumn="0"/>
            <w:tcW w:w="1304" w:type="dxa"/>
            <w:shd w:val="clear" w:color="auto" w:fill="F2F2F2" w:themeFill="background1" w:themeFillShade="F2"/>
          </w:tcPr>
          <w:p w14:paraId="23142BE7" w14:textId="77777777" w:rsidR="005D72AE" w:rsidRPr="00F43169" w:rsidRDefault="005D72AE" w:rsidP="00FA2A1A">
            <w:pPr>
              <w:rPr>
                <w:b/>
                <w:bCs/>
                <w:lang w:val="en-US"/>
              </w:rPr>
            </w:pPr>
            <w:r w:rsidRPr="00F43169">
              <w:rPr>
                <w:b/>
                <w:bCs/>
                <w:lang w:val="en-US"/>
              </w:rPr>
              <w:lastRenderedPageBreak/>
              <w:t>-</w:t>
            </w:r>
          </w:p>
        </w:tc>
        <w:tc>
          <w:tcPr>
            <w:cnfStyle w:val="000010000000" w:firstRow="0" w:lastRow="0" w:firstColumn="0" w:lastColumn="0" w:oddVBand="1" w:evenVBand="0" w:oddHBand="0" w:evenHBand="0" w:firstRowFirstColumn="0" w:firstRowLastColumn="0" w:lastRowFirstColumn="0" w:lastRowLastColumn="0"/>
            <w:tcW w:w="1191" w:type="dxa"/>
            <w:shd w:val="clear" w:color="auto" w:fill="F2F2F2" w:themeFill="background1" w:themeFillShade="F2"/>
          </w:tcPr>
          <w:p w14:paraId="57E4F7BC" w14:textId="77777777" w:rsidR="005D72AE" w:rsidRPr="00F43169" w:rsidRDefault="005D72AE" w:rsidP="00FA2A1A">
            <w:pPr>
              <w:rPr>
                <w:b/>
                <w:bCs/>
                <w:lang w:val="en-US"/>
              </w:rPr>
            </w:pPr>
            <w:r w:rsidRPr="00F43169">
              <w:rPr>
                <w:b/>
                <w:bCs/>
                <w:lang w:val="en-US"/>
              </w:rPr>
              <w:t>60,081</w:t>
            </w:r>
          </w:p>
        </w:tc>
        <w:tc>
          <w:tcPr>
            <w:cnfStyle w:val="000001000000" w:firstRow="0" w:lastRow="0" w:firstColumn="0" w:lastColumn="0" w:oddVBand="0" w:evenVBand="1" w:oddHBand="0" w:evenHBand="0" w:firstRowFirstColumn="0" w:firstRowLastColumn="0" w:lastRowFirstColumn="0" w:lastRowLastColumn="0"/>
            <w:tcW w:w="1134" w:type="dxa"/>
            <w:shd w:val="clear" w:color="auto" w:fill="F2F2F2" w:themeFill="background1" w:themeFillShade="F2"/>
          </w:tcPr>
          <w:p w14:paraId="0600D7B1" w14:textId="77777777" w:rsidR="005D72AE" w:rsidRPr="00F43169" w:rsidRDefault="005D72AE" w:rsidP="00FA2A1A">
            <w:pPr>
              <w:rPr>
                <w:b/>
                <w:bCs/>
                <w:lang w:val="en-US"/>
              </w:rPr>
            </w:pPr>
            <w:r w:rsidRPr="00F43169">
              <w:rPr>
                <w:b/>
                <w:bCs/>
                <w:lang w:val="en-US"/>
              </w:rPr>
              <w:t>11,412</w:t>
            </w:r>
          </w:p>
        </w:tc>
        <w:tc>
          <w:tcPr>
            <w:cnfStyle w:val="000010000000" w:firstRow="0" w:lastRow="0" w:firstColumn="0" w:lastColumn="0" w:oddVBand="1" w:evenVBand="0" w:oddHBand="0" w:evenHBand="0" w:firstRowFirstColumn="0" w:firstRowLastColumn="0" w:lastRowFirstColumn="0" w:lastRowLastColumn="0"/>
            <w:tcW w:w="1225" w:type="dxa"/>
            <w:shd w:val="clear" w:color="auto" w:fill="F2F2F2" w:themeFill="background1" w:themeFillShade="F2"/>
          </w:tcPr>
          <w:p w14:paraId="695F6675" w14:textId="77777777" w:rsidR="005D72AE" w:rsidRPr="00F43169" w:rsidRDefault="005D72AE" w:rsidP="00FA2A1A">
            <w:pPr>
              <w:rPr>
                <w:b/>
                <w:bCs/>
                <w:lang w:val="en-US"/>
              </w:rPr>
            </w:pPr>
            <w:r w:rsidRPr="00F43169">
              <w:rPr>
                <w:b/>
                <w:bCs/>
                <w:lang w:val="en-US"/>
              </w:rPr>
              <w:t>84,453</w:t>
            </w:r>
          </w:p>
        </w:tc>
        <w:tc>
          <w:tcPr>
            <w:cnfStyle w:val="000001000000" w:firstRow="0" w:lastRow="0" w:firstColumn="0" w:lastColumn="0" w:oddVBand="0" w:evenVBand="1" w:oddHBand="0" w:evenHBand="0" w:firstRowFirstColumn="0" w:firstRowLastColumn="0" w:lastRowFirstColumn="0" w:lastRowLastColumn="0"/>
            <w:tcW w:w="1134" w:type="dxa"/>
            <w:shd w:val="clear" w:color="auto" w:fill="F2F2F2" w:themeFill="background1" w:themeFillShade="F2"/>
          </w:tcPr>
          <w:p w14:paraId="0BEA8973" w14:textId="77777777" w:rsidR="005D72AE" w:rsidRPr="00F43169" w:rsidRDefault="005D72AE" w:rsidP="00FA2A1A">
            <w:pPr>
              <w:rPr>
                <w:b/>
                <w:bCs/>
                <w:lang w:val="en-US"/>
              </w:rPr>
            </w:pPr>
            <w:r w:rsidRPr="00F43169">
              <w:rPr>
                <w:b/>
                <w:bCs/>
                <w:lang w:val="en-US"/>
              </w:rPr>
              <w:t>139,716</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2F2F2" w:themeFill="background1" w:themeFillShade="F2"/>
          </w:tcPr>
          <w:p w14:paraId="3FA7A651" w14:textId="77777777" w:rsidR="005D72AE" w:rsidRPr="00F43169" w:rsidRDefault="005D72AE" w:rsidP="00FA2A1A">
            <w:pPr>
              <w:rPr>
                <w:b/>
                <w:bCs/>
                <w:lang w:val="en-US"/>
              </w:rPr>
            </w:pPr>
            <w:r w:rsidRPr="00F43169">
              <w:rPr>
                <w:b/>
                <w:bCs/>
                <w:lang w:val="en-US"/>
              </w:rPr>
              <w:t>37,902</w:t>
            </w:r>
          </w:p>
        </w:tc>
        <w:tc>
          <w:tcPr>
            <w:cnfStyle w:val="000001000000" w:firstRow="0" w:lastRow="0" w:firstColumn="0" w:lastColumn="0" w:oddVBand="0" w:evenVBand="1" w:oddHBand="0" w:evenHBand="0" w:firstRowFirstColumn="0" w:firstRowLastColumn="0" w:lastRowFirstColumn="0" w:lastRowLastColumn="0"/>
            <w:tcW w:w="1134" w:type="dxa"/>
            <w:shd w:val="clear" w:color="auto" w:fill="F2F2F2" w:themeFill="background1" w:themeFillShade="F2"/>
          </w:tcPr>
          <w:p w14:paraId="1DA44B58" w14:textId="77777777" w:rsidR="005D72AE" w:rsidRPr="00F43169" w:rsidRDefault="005D72AE" w:rsidP="00FA2A1A">
            <w:pPr>
              <w:rPr>
                <w:b/>
                <w:bCs/>
                <w:lang w:val="en-US"/>
              </w:rPr>
            </w:pPr>
            <w:r w:rsidRPr="00F43169">
              <w:rPr>
                <w:b/>
                <w:bCs/>
                <w:lang w:val="en-US"/>
              </w:rPr>
              <w:t>333,564</w:t>
            </w:r>
          </w:p>
        </w:tc>
      </w:tr>
      <w:tr w:rsidR="005D72AE" w:rsidRPr="00844A25" w14:paraId="622BC630" w14:textId="77777777" w:rsidTr="00FA2A1A">
        <w:trPr>
          <w:trHeight w:val="276"/>
        </w:trPr>
        <w:tc>
          <w:tcPr>
            <w:cnfStyle w:val="000010000000" w:firstRow="0" w:lastRow="0" w:firstColumn="0" w:lastColumn="0" w:oddVBand="1" w:evenVBand="0" w:oddHBand="0" w:evenHBand="0" w:firstRowFirstColumn="0" w:firstRowLastColumn="0" w:lastRowFirstColumn="0" w:lastRowLastColumn="0"/>
            <w:tcW w:w="1899" w:type="dxa"/>
          </w:tcPr>
          <w:p w14:paraId="51674328" w14:textId="77777777" w:rsidR="005D72AE" w:rsidRPr="00844A25"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1304" w:type="dxa"/>
          </w:tcPr>
          <w:p w14:paraId="01882423"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191" w:type="dxa"/>
          </w:tcPr>
          <w:p w14:paraId="5EDEF495" w14:textId="77777777" w:rsidR="005D72AE" w:rsidRPr="00844A25"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1134" w:type="dxa"/>
          </w:tcPr>
          <w:p w14:paraId="2A59D5DE"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225" w:type="dxa"/>
          </w:tcPr>
          <w:p w14:paraId="536E6D81" w14:textId="77777777" w:rsidR="005D72AE" w:rsidRPr="00844A25"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1134" w:type="dxa"/>
          </w:tcPr>
          <w:p w14:paraId="4E6BCF1F"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134" w:type="dxa"/>
          </w:tcPr>
          <w:p w14:paraId="18F5A943" w14:textId="77777777" w:rsidR="005D72AE" w:rsidRPr="00844A25"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1134" w:type="dxa"/>
          </w:tcPr>
          <w:p w14:paraId="236B3061" w14:textId="77777777" w:rsidR="005D72AE" w:rsidRPr="00844A25" w:rsidRDefault="005D72AE" w:rsidP="00FA2A1A">
            <w:pPr>
              <w:rPr>
                <w:lang w:val="en-GB"/>
              </w:rPr>
            </w:pPr>
          </w:p>
        </w:tc>
      </w:tr>
      <w:tr w:rsidR="005D72AE" w:rsidRPr="00844A25" w14:paraId="6006E3AB" w14:textId="77777777" w:rsidTr="00FA2A1A">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1899" w:type="dxa"/>
          </w:tcPr>
          <w:p w14:paraId="445F0E2E" w14:textId="77777777" w:rsidR="005D72AE" w:rsidRPr="00F43169" w:rsidRDefault="005D72AE" w:rsidP="00FA2A1A">
            <w:pPr>
              <w:rPr>
                <w:b/>
                <w:bCs/>
                <w:lang w:val="en-US"/>
              </w:rPr>
            </w:pPr>
            <w:r w:rsidRPr="00F43169">
              <w:rPr>
                <w:b/>
                <w:bCs/>
                <w:lang w:val="en-US"/>
              </w:rPr>
              <w:t>2019</w:t>
            </w:r>
          </w:p>
        </w:tc>
        <w:tc>
          <w:tcPr>
            <w:cnfStyle w:val="000001000000" w:firstRow="0" w:lastRow="0" w:firstColumn="0" w:lastColumn="0" w:oddVBand="0" w:evenVBand="1" w:oddHBand="0" w:evenHBand="0" w:firstRowFirstColumn="0" w:firstRowLastColumn="0" w:lastRowFirstColumn="0" w:lastRowLastColumn="0"/>
            <w:tcW w:w="1304" w:type="dxa"/>
          </w:tcPr>
          <w:p w14:paraId="0DAFE663" w14:textId="77777777" w:rsidR="005D72AE" w:rsidRPr="00F43169"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1191" w:type="dxa"/>
          </w:tcPr>
          <w:p w14:paraId="3026181E" w14:textId="77777777" w:rsidR="005D72AE" w:rsidRPr="00F43169"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134" w:type="dxa"/>
          </w:tcPr>
          <w:p w14:paraId="4077FA8F" w14:textId="77777777" w:rsidR="005D72AE" w:rsidRPr="00F43169"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1225" w:type="dxa"/>
          </w:tcPr>
          <w:p w14:paraId="55D41A9D" w14:textId="77777777" w:rsidR="005D72AE" w:rsidRPr="00F43169"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134" w:type="dxa"/>
          </w:tcPr>
          <w:p w14:paraId="450DCAA2" w14:textId="77777777" w:rsidR="005D72AE" w:rsidRPr="00F43169"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1134" w:type="dxa"/>
          </w:tcPr>
          <w:p w14:paraId="3D237B46" w14:textId="77777777" w:rsidR="005D72AE" w:rsidRPr="00F43169"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134" w:type="dxa"/>
          </w:tcPr>
          <w:p w14:paraId="153CFEC7" w14:textId="77777777" w:rsidR="005D72AE" w:rsidRPr="00F43169" w:rsidRDefault="005D72AE" w:rsidP="00FA2A1A">
            <w:pPr>
              <w:rPr>
                <w:b/>
                <w:bCs/>
                <w:lang w:val="en-GB"/>
              </w:rPr>
            </w:pPr>
          </w:p>
        </w:tc>
      </w:tr>
      <w:tr w:rsidR="005D72AE" w:rsidRPr="00844A25" w14:paraId="3B879786" w14:textId="77777777" w:rsidTr="00FA2A1A">
        <w:trPr>
          <w:trHeight w:val="276"/>
        </w:trPr>
        <w:tc>
          <w:tcPr>
            <w:cnfStyle w:val="000010000000" w:firstRow="0" w:lastRow="0" w:firstColumn="0" w:lastColumn="0" w:oddVBand="1" w:evenVBand="0" w:oddHBand="0" w:evenHBand="0" w:firstRowFirstColumn="0" w:firstRowLastColumn="0" w:lastRowFirstColumn="0" w:lastRowLastColumn="0"/>
            <w:tcW w:w="1899" w:type="dxa"/>
          </w:tcPr>
          <w:p w14:paraId="03590CFD" w14:textId="77777777" w:rsidR="005D72AE" w:rsidRPr="00844A25" w:rsidRDefault="005D72AE" w:rsidP="00FA2A1A">
            <w:pPr>
              <w:rPr>
                <w:lang w:val="en-US"/>
              </w:rPr>
            </w:pPr>
            <w:r w:rsidRPr="00844A25">
              <w:rPr>
                <w:lang w:val="en-US"/>
              </w:rPr>
              <w:t>Carrying amount</w:t>
            </w:r>
            <w:r>
              <w:rPr>
                <w:lang w:val="en-US"/>
              </w:rPr>
              <w:t xml:space="preserve"> </w:t>
            </w:r>
            <w:r w:rsidRPr="00844A25">
              <w:rPr>
                <w:lang w:val="en-US"/>
              </w:rPr>
              <w:t>at start of year</w:t>
            </w:r>
          </w:p>
        </w:tc>
        <w:tc>
          <w:tcPr>
            <w:cnfStyle w:val="000001000000" w:firstRow="0" w:lastRow="0" w:firstColumn="0" w:lastColumn="0" w:oddVBand="0" w:evenVBand="1" w:oddHBand="0" w:evenHBand="0" w:firstRowFirstColumn="0" w:firstRowLastColumn="0" w:lastRowFirstColumn="0" w:lastRowLastColumn="0"/>
            <w:tcW w:w="1304" w:type="dxa"/>
          </w:tcPr>
          <w:p w14:paraId="0A53EEAD" w14:textId="77777777" w:rsidR="005D72AE" w:rsidRPr="00844A25" w:rsidRDefault="005D72AE" w:rsidP="00FA2A1A">
            <w:pPr>
              <w:rPr>
                <w:lang w:val="en-US"/>
              </w:rPr>
            </w:pPr>
            <w:r w:rsidRPr="00844A25">
              <w:rPr>
                <w:lang w:val="en-US"/>
              </w:rPr>
              <w:t>-</w:t>
            </w:r>
            <w:r>
              <w:rPr>
                <w:lang w:val="en-US"/>
              </w:rPr>
              <w:t xml:space="preserve"> </w:t>
            </w:r>
          </w:p>
        </w:tc>
        <w:tc>
          <w:tcPr>
            <w:cnfStyle w:val="000010000000" w:firstRow="0" w:lastRow="0" w:firstColumn="0" w:lastColumn="0" w:oddVBand="1" w:evenVBand="0" w:oddHBand="0" w:evenHBand="0" w:firstRowFirstColumn="0" w:firstRowLastColumn="0" w:lastRowFirstColumn="0" w:lastRowLastColumn="0"/>
            <w:tcW w:w="1191" w:type="dxa"/>
          </w:tcPr>
          <w:p w14:paraId="50F80F21" w14:textId="77777777" w:rsidR="005D72AE" w:rsidRPr="00844A25" w:rsidRDefault="005D72AE" w:rsidP="00FA2A1A">
            <w:pPr>
              <w:rPr>
                <w:lang w:val="en-US"/>
              </w:rPr>
            </w:pPr>
            <w:r w:rsidRPr="00844A25">
              <w:rPr>
                <w:lang w:val="en-US"/>
              </w:rPr>
              <w:t>78,077</w:t>
            </w:r>
          </w:p>
        </w:tc>
        <w:tc>
          <w:tcPr>
            <w:cnfStyle w:val="000001000000" w:firstRow="0" w:lastRow="0" w:firstColumn="0" w:lastColumn="0" w:oddVBand="0" w:evenVBand="1" w:oddHBand="0" w:evenHBand="0" w:firstRowFirstColumn="0" w:firstRowLastColumn="0" w:lastRowFirstColumn="0" w:lastRowLastColumn="0"/>
            <w:tcW w:w="1134" w:type="dxa"/>
          </w:tcPr>
          <w:p w14:paraId="57694C3D" w14:textId="77777777" w:rsidR="005D72AE" w:rsidRPr="00844A25" w:rsidRDefault="005D72AE" w:rsidP="00FA2A1A">
            <w:pPr>
              <w:rPr>
                <w:lang w:val="en-US"/>
              </w:rPr>
            </w:pPr>
            <w:r w:rsidRPr="00844A25">
              <w:rPr>
                <w:lang w:val="en-US"/>
              </w:rPr>
              <w:t>832</w:t>
            </w:r>
          </w:p>
        </w:tc>
        <w:tc>
          <w:tcPr>
            <w:cnfStyle w:val="000010000000" w:firstRow="0" w:lastRow="0" w:firstColumn="0" w:lastColumn="0" w:oddVBand="1" w:evenVBand="0" w:oddHBand="0" w:evenHBand="0" w:firstRowFirstColumn="0" w:firstRowLastColumn="0" w:lastRowFirstColumn="0" w:lastRowLastColumn="0"/>
            <w:tcW w:w="1225" w:type="dxa"/>
          </w:tcPr>
          <w:p w14:paraId="7D9EA589" w14:textId="77777777" w:rsidR="005D72AE" w:rsidRPr="00844A25" w:rsidRDefault="005D72AE" w:rsidP="00FA2A1A">
            <w:pPr>
              <w:rPr>
                <w:lang w:val="en-US"/>
              </w:rPr>
            </w:pPr>
            <w:r w:rsidRPr="00844A25">
              <w:rPr>
                <w:lang w:val="en-US"/>
              </w:rPr>
              <w:t>58,365</w:t>
            </w:r>
          </w:p>
        </w:tc>
        <w:tc>
          <w:tcPr>
            <w:cnfStyle w:val="000001000000" w:firstRow="0" w:lastRow="0" w:firstColumn="0" w:lastColumn="0" w:oddVBand="0" w:evenVBand="1" w:oddHBand="0" w:evenHBand="0" w:firstRowFirstColumn="0" w:firstRowLastColumn="0" w:lastRowFirstColumn="0" w:lastRowLastColumn="0"/>
            <w:tcW w:w="1134" w:type="dxa"/>
          </w:tcPr>
          <w:p w14:paraId="4A416FC1"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134" w:type="dxa"/>
          </w:tcPr>
          <w:p w14:paraId="4B692A09" w14:textId="77777777" w:rsidR="005D72AE" w:rsidRPr="00844A25" w:rsidRDefault="005D72AE" w:rsidP="00FA2A1A">
            <w:pPr>
              <w:rPr>
                <w:lang w:val="en-US"/>
              </w:rPr>
            </w:pPr>
            <w:r w:rsidRPr="00844A25">
              <w:rPr>
                <w:lang w:val="en-US"/>
              </w:rPr>
              <w:t>13,059</w:t>
            </w:r>
          </w:p>
        </w:tc>
        <w:tc>
          <w:tcPr>
            <w:cnfStyle w:val="000001000000" w:firstRow="0" w:lastRow="0" w:firstColumn="0" w:lastColumn="0" w:oddVBand="0" w:evenVBand="1" w:oddHBand="0" w:evenHBand="0" w:firstRowFirstColumn="0" w:firstRowLastColumn="0" w:lastRowFirstColumn="0" w:lastRowLastColumn="0"/>
            <w:tcW w:w="1134" w:type="dxa"/>
          </w:tcPr>
          <w:p w14:paraId="1C7E7CD4" w14:textId="77777777" w:rsidR="005D72AE" w:rsidRPr="00844A25" w:rsidRDefault="005D72AE" w:rsidP="00FA2A1A">
            <w:pPr>
              <w:rPr>
                <w:lang w:val="en-US"/>
              </w:rPr>
            </w:pPr>
            <w:r w:rsidRPr="00844A25">
              <w:rPr>
                <w:lang w:val="en-US"/>
              </w:rPr>
              <w:t>150,333</w:t>
            </w:r>
          </w:p>
        </w:tc>
      </w:tr>
      <w:tr w:rsidR="005D72AE" w:rsidRPr="00844A25" w14:paraId="67F976C5" w14:textId="77777777" w:rsidTr="00FA2A1A">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1899" w:type="dxa"/>
          </w:tcPr>
          <w:p w14:paraId="5BCCC698" w14:textId="77777777" w:rsidR="005D72AE" w:rsidRPr="00844A25" w:rsidRDefault="005D72AE" w:rsidP="00FA2A1A">
            <w:pPr>
              <w:rPr>
                <w:lang w:val="en-US"/>
              </w:rPr>
            </w:pPr>
            <w:r w:rsidRPr="00844A25">
              <w:rPr>
                <w:lang w:val="en-US"/>
              </w:rPr>
              <w:t>Additions</w:t>
            </w:r>
          </w:p>
        </w:tc>
        <w:tc>
          <w:tcPr>
            <w:cnfStyle w:val="000001000000" w:firstRow="0" w:lastRow="0" w:firstColumn="0" w:lastColumn="0" w:oddVBand="0" w:evenVBand="1" w:oddHBand="0" w:evenHBand="0" w:firstRowFirstColumn="0" w:firstRowLastColumn="0" w:lastRowFirstColumn="0" w:lastRowLastColumn="0"/>
            <w:tcW w:w="1304" w:type="dxa"/>
          </w:tcPr>
          <w:p w14:paraId="59EBAA08"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191" w:type="dxa"/>
          </w:tcPr>
          <w:p w14:paraId="40E6D590" w14:textId="77777777" w:rsidR="005D72AE" w:rsidRPr="00844A25" w:rsidRDefault="005D72AE" w:rsidP="00FA2A1A">
            <w:pPr>
              <w:rPr>
                <w:lang w:val="en-US"/>
              </w:rPr>
            </w:pPr>
            <w:r w:rsidRPr="00844A25">
              <w:rPr>
                <w:lang w:val="en-US"/>
              </w:rPr>
              <w:t>-</w:t>
            </w:r>
          </w:p>
        </w:tc>
        <w:tc>
          <w:tcPr>
            <w:cnfStyle w:val="000001000000" w:firstRow="0" w:lastRow="0" w:firstColumn="0" w:lastColumn="0" w:oddVBand="0" w:evenVBand="1" w:oddHBand="0" w:evenHBand="0" w:firstRowFirstColumn="0" w:firstRowLastColumn="0" w:lastRowFirstColumn="0" w:lastRowLastColumn="0"/>
            <w:tcW w:w="1134" w:type="dxa"/>
          </w:tcPr>
          <w:p w14:paraId="729BDB4A"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225" w:type="dxa"/>
          </w:tcPr>
          <w:p w14:paraId="603887E3" w14:textId="77777777" w:rsidR="005D72AE" w:rsidRPr="00844A25" w:rsidRDefault="005D72AE" w:rsidP="00FA2A1A">
            <w:pPr>
              <w:rPr>
                <w:lang w:val="en-US"/>
              </w:rPr>
            </w:pPr>
            <w:r w:rsidRPr="00844A25">
              <w:rPr>
                <w:lang w:val="en-US"/>
              </w:rPr>
              <w:t>29,601</w:t>
            </w:r>
          </w:p>
        </w:tc>
        <w:tc>
          <w:tcPr>
            <w:cnfStyle w:val="000001000000" w:firstRow="0" w:lastRow="0" w:firstColumn="0" w:lastColumn="0" w:oddVBand="0" w:evenVBand="1" w:oddHBand="0" w:evenHBand="0" w:firstRowFirstColumn="0" w:firstRowLastColumn="0" w:lastRowFirstColumn="0" w:lastRowLastColumn="0"/>
            <w:tcW w:w="1134" w:type="dxa"/>
          </w:tcPr>
          <w:p w14:paraId="73C1FFC8" w14:textId="77777777" w:rsidR="005D72AE" w:rsidRPr="00844A25" w:rsidRDefault="005D72AE" w:rsidP="00FA2A1A">
            <w:pPr>
              <w:rPr>
                <w:lang w:val="en-US"/>
              </w:rPr>
            </w:pPr>
            <w:r w:rsidRPr="00844A25">
              <w:rPr>
                <w:lang w:val="en-US"/>
              </w:rPr>
              <w:t>139,716</w:t>
            </w:r>
          </w:p>
        </w:tc>
        <w:tc>
          <w:tcPr>
            <w:cnfStyle w:val="000010000000" w:firstRow="0" w:lastRow="0" w:firstColumn="0" w:lastColumn="0" w:oddVBand="1" w:evenVBand="0" w:oddHBand="0" w:evenHBand="0" w:firstRowFirstColumn="0" w:firstRowLastColumn="0" w:lastRowFirstColumn="0" w:lastRowLastColumn="0"/>
            <w:tcW w:w="1134" w:type="dxa"/>
          </w:tcPr>
          <w:p w14:paraId="747E8035" w14:textId="77777777" w:rsidR="005D72AE" w:rsidRPr="00844A25" w:rsidRDefault="005D72AE" w:rsidP="00FA2A1A">
            <w:pPr>
              <w:rPr>
                <w:lang w:val="en-US"/>
              </w:rPr>
            </w:pPr>
            <w:r w:rsidRPr="00844A25">
              <w:rPr>
                <w:lang w:val="en-US"/>
              </w:rPr>
              <w:t>24,843</w:t>
            </w:r>
          </w:p>
        </w:tc>
        <w:tc>
          <w:tcPr>
            <w:cnfStyle w:val="000001000000" w:firstRow="0" w:lastRow="0" w:firstColumn="0" w:lastColumn="0" w:oddVBand="0" w:evenVBand="1" w:oddHBand="0" w:evenHBand="0" w:firstRowFirstColumn="0" w:firstRowLastColumn="0" w:lastRowFirstColumn="0" w:lastRowLastColumn="0"/>
            <w:tcW w:w="1134" w:type="dxa"/>
          </w:tcPr>
          <w:p w14:paraId="34096877" w14:textId="77777777" w:rsidR="005D72AE" w:rsidRPr="00844A25" w:rsidRDefault="005D72AE" w:rsidP="00FA2A1A">
            <w:pPr>
              <w:rPr>
                <w:lang w:val="en-US"/>
              </w:rPr>
            </w:pPr>
            <w:r w:rsidRPr="00844A25">
              <w:rPr>
                <w:lang w:val="en-US"/>
              </w:rPr>
              <w:t>194,160</w:t>
            </w:r>
          </w:p>
        </w:tc>
      </w:tr>
      <w:tr w:rsidR="005D72AE" w:rsidRPr="00844A25" w14:paraId="6F76F690" w14:textId="77777777" w:rsidTr="00FA2A1A">
        <w:trPr>
          <w:trHeight w:val="276"/>
        </w:trPr>
        <w:tc>
          <w:tcPr>
            <w:cnfStyle w:val="000010000000" w:firstRow="0" w:lastRow="0" w:firstColumn="0" w:lastColumn="0" w:oddVBand="1" w:evenVBand="0" w:oddHBand="0" w:evenHBand="0" w:firstRowFirstColumn="0" w:firstRowLastColumn="0" w:lastRowFirstColumn="0" w:lastRowLastColumn="0"/>
            <w:tcW w:w="1899" w:type="dxa"/>
          </w:tcPr>
          <w:p w14:paraId="684E3FBA" w14:textId="77777777" w:rsidR="005D72AE" w:rsidRPr="00844A25" w:rsidRDefault="005D72AE" w:rsidP="00FA2A1A">
            <w:pPr>
              <w:rPr>
                <w:lang w:val="en-US"/>
              </w:rPr>
            </w:pPr>
            <w:r w:rsidRPr="00844A25">
              <w:rPr>
                <w:lang w:val="en-US"/>
              </w:rPr>
              <w:t>Disposals</w:t>
            </w:r>
          </w:p>
        </w:tc>
        <w:tc>
          <w:tcPr>
            <w:cnfStyle w:val="000001000000" w:firstRow="0" w:lastRow="0" w:firstColumn="0" w:lastColumn="0" w:oddVBand="0" w:evenVBand="1" w:oddHBand="0" w:evenHBand="0" w:firstRowFirstColumn="0" w:firstRowLastColumn="0" w:lastRowFirstColumn="0" w:lastRowLastColumn="0"/>
            <w:tcW w:w="1304" w:type="dxa"/>
          </w:tcPr>
          <w:p w14:paraId="1CEFAC72"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191" w:type="dxa"/>
          </w:tcPr>
          <w:p w14:paraId="31B75E24" w14:textId="77777777" w:rsidR="005D72AE" w:rsidRPr="00844A25" w:rsidRDefault="005D72AE" w:rsidP="00FA2A1A">
            <w:pPr>
              <w:rPr>
                <w:lang w:val="en-US"/>
              </w:rPr>
            </w:pPr>
            <w:r w:rsidRPr="00844A25">
              <w:rPr>
                <w:lang w:val="en-US"/>
              </w:rPr>
              <w:t>-</w:t>
            </w:r>
          </w:p>
        </w:tc>
        <w:tc>
          <w:tcPr>
            <w:cnfStyle w:val="000001000000" w:firstRow="0" w:lastRow="0" w:firstColumn="0" w:lastColumn="0" w:oddVBand="0" w:evenVBand="1" w:oddHBand="0" w:evenHBand="0" w:firstRowFirstColumn="0" w:firstRowLastColumn="0" w:lastRowFirstColumn="0" w:lastRowLastColumn="0"/>
            <w:tcW w:w="1134" w:type="dxa"/>
          </w:tcPr>
          <w:p w14:paraId="62A364EA"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225" w:type="dxa"/>
          </w:tcPr>
          <w:p w14:paraId="31635D0B" w14:textId="77777777" w:rsidR="005D72AE" w:rsidRPr="00844A25" w:rsidRDefault="005D72AE" w:rsidP="00FA2A1A">
            <w:pPr>
              <w:rPr>
                <w:lang w:val="en-US"/>
              </w:rPr>
            </w:pPr>
            <w:r w:rsidRPr="00844A25">
              <w:rPr>
                <w:lang w:val="en-US"/>
              </w:rPr>
              <w:t>(31,650)</w:t>
            </w:r>
          </w:p>
        </w:tc>
        <w:tc>
          <w:tcPr>
            <w:cnfStyle w:val="000001000000" w:firstRow="0" w:lastRow="0" w:firstColumn="0" w:lastColumn="0" w:oddVBand="0" w:evenVBand="1" w:oddHBand="0" w:evenHBand="0" w:firstRowFirstColumn="0" w:firstRowLastColumn="0" w:lastRowFirstColumn="0" w:lastRowLastColumn="0"/>
            <w:tcW w:w="1134" w:type="dxa"/>
          </w:tcPr>
          <w:p w14:paraId="4BF54863"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134" w:type="dxa"/>
          </w:tcPr>
          <w:p w14:paraId="1BE6CC31" w14:textId="77777777" w:rsidR="005D72AE" w:rsidRPr="00844A25" w:rsidRDefault="005D72AE" w:rsidP="00FA2A1A">
            <w:pPr>
              <w:rPr>
                <w:lang w:val="en-US"/>
              </w:rPr>
            </w:pPr>
            <w:r w:rsidRPr="00844A25">
              <w:rPr>
                <w:lang w:val="en-US"/>
              </w:rPr>
              <w:t>-</w:t>
            </w:r>
          </w:p>
        </w:tc>
        <w:tc>
          <w:tcPr>
            <w:cnfStyle w:val="000001000000" w:firstRow="0" w:lastRow="0" w:firstColumn="0" w:lastColumn="0" w:oddVBand="0" w:evenVBand="1" w:oddHBand="0" w:evenHBand="0" w:firstRowFirstColumn="0" w:firstRowLastColumn="0" w:lastRowFirstColumn="0" w:lastRowLastColumn="0"/>
            <w:tcW w:w="1134" w:type="dxa"/>
          </w:tcPr>
          <w:p w14:paraId="00343F8F" w14:textId="77777777" w:rsidR="005D72AE" w:rsidRPr="00844A25" w:rsidRDefault="005D72AE" w:rsidP="00FA2A1A">
            <w:pPr>
              <w:rPr>
                <w:lang w:val="en-US"/>
              </w:rPr>
            </w:pPr>
            <w:r w:rsidRPr="00844A25">
              <w:rPr>
                <w:lang w:val="en-US"/>
              </w:rPr>
              <w:t>(31,650)</w:t>
            </w:r>
          </w:p>
        </w:tc>
      </w:tr>
      <w:tr w:rsidR="005D72AE" w:rsidRPr="00844A25" w14:paraId="3A45D01B" w14:textId="77777777" w:rsidTr="00FA2A1A">
        <w:trPr>
          <w:cnfStyle w:val="000000100000" w:firstRow="0" w:lastRow="0" w:firstColumn="0" w:lastColumn="0" w:oddVBand="0" w:evenVBand="0" w:oddHBand="1" w:evenHBand="0" w:firstRowFirstColumn="0" w:firstRowLastColumn="0" w:lastRowFirstColumn="0" w:lastRowLastColumn="0"/>
          <w:trHeight w:val="293"/>
        </w:trPr>
        <w:tc>
          <w:tcPr>
            <w:cnfStyle w:val="000010000000" w:firstRow="0" w:lastRow="0" w:firstColumn="0" w:lastColumn="0" w:oddVBand="1" w:evenVBand="0" w:oddHBand="0" w:evenHBand="0" w:firstRowFirstColumn="0" w:firstRowLastColumn="0" w:lastRowFirstColumn="0" w:lastRowLastColumn="0"/>
            <w:tcW w:w="1899" w:type="dxa"/>
          </w:tcPr>
          <w:p w14:paraId="41DDD332" w14:textId="77777777" w:rsidR="005D72AE" w:rsidRPr="00844A25" w:rsidRDefault="005D72AE" w:rsidP="00FA2A1A">
            <w:pPr>
              <w:rPr>
                <w:lang w:val="en-US"/>
              </w:rPr>
            </w:pPr>
            <w:r w:rsidRPr="00844A25">
              <w:rPr>
                <w:lang w:val="en-US"/>
              </w:rPr>
              <w:t>Depreciation expense</w:t>
            </w:r>
          </w:p>
        </w:tc>
        <w:tc>
          <w:tcPr>
            <w:cnfStyle w:val="000001000000" w:firstRow="0" w:lastRow="0" w:firstColumn="0" w:lastColumn="0" w:oddVBand="0" w:evenVBand="1" w:oddHBand="0" w:evenHBand="0" w:firstRowFirstColumn="0" w:firstRowLastColumn="0" w:lastRowFirstColumn="0" w:lastRowLastColumn="0"/>
            <w:tcW w:w="1304" w:type="dxa"/>
          </w:tcPr>
          <w:p w14:paraId="75FC0824"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191" w:type="dxa"/>
          </w:tcPr>
          <w:p w14:paraId="60D14B41" w14:textId="77777777" w:rsidR="005D72AE" w:rsidRPr="00844A25" w:rsidRDefault="005D72AE" w:rsidP="00FA2A1A">
            <w:pPr>
              <w:rPr>
                <w:lang w:val="en-US"/>
              </w:rPr>
            </w:pPr>
            <w:r w:rsidRPr="00844A25">
              <w:rPr>
                <w:lang w:val="en-US"/>
              </w:rPr>
              <w:t>(21,293)</w:t>
            </w:r>
          </w:p>
        </w:tc>
        <w:tc>
          <w:tcPr>
            <w:cnfStyle w:val="000001000000" w:firstRow="0" w:lastRow="0" w:firstColumn="0" w:lastColumn="0" w:oddVBand="0" w:evenVBand="1" w:oddHBand="0" w:evenHBand="0" w:firstRowFirstColumn="0" w:firstRowLastColumn="0" w:lastRowFirstColumn="0" w:lastRowLastColumn="0"/>
            <w:tcW w:w="1134" w:type="dxa"/>
          </w:tcPr>
          <w:p w14:paraId="5840F852" w14:textId="77777777" w:rsidR="005D72AE" w:rsidRPr="00844A25" w:rsidRDefault="005D72AE" w:rsidP="00FA2A1A">
            <w:pPr>
              <w:rPr>
                <w:lang w:val="en-US"/>
              </w:rPr>
            </w:pPr>
            <w:r w:rsidRPr="00844A25">
              <w:rPr>
                <w:lang w:val="en-US"/>
              </w:rPr>
              <w:t>(832)</w:t>
            </w:r>
          </w:p>
        </w:tc>
        <w:tc>
          <w:tcPr>
            <w:cnfStyle w:val="000010000000" w:firstRow="0" w:lastRow="0" w:firstColumn="0" w:lastColumn="0" w:oddVBand="1" w:evenVBand="0" w:oddHBand="0" w:evenHBand="0" w:firstRowFirstColumn="0" w:firstRowLastColumn="0" w:lastRowFirstColumn="0" w:lastRowLastColumn="0"/>
            <w:tcW w:w="1225" w:type="dxa"/>
          </w:tcPr>
          <w:p w14:paraId="4F83375B" w14:textId="77777777" w:rsidR="005D72AE" w:rsidRPr="00844A25" w:rsidRDefault="005D72AE" w:rsidP="00FA2A1A">
            <w:pPr>
              <w:rPr>
                <w:lang w:val="en-US"/>
              </w:rPr>
            </w:pPr>
            <w:r w:rsidRPr="00844A25">
              <w:rPr>
                <w:lang w:val="en-US"/>
              </w:rPr>
              <w:t>(13,248)</w:t>
            </w:r>
          </w:p>
        </w:tc>
        <w:tc>
          <w:tcPr>
            <w:cnfStyle w:val="000001000000" w:firstRow="0" w:lastRow="0" w:firstColumn="0" w:lastColumn="0" w:oddVBand="0" w:evenVBand="1" w:oddHBand="0" w:evenHBand="0" w:firstRowFirstColumn="0" w:firstRowLastColumn="0" w:lastRowFirstColumn="0" w:lastRowLastColumn="0"/>
            <w:tcW w:w="1134" w:type="dxa"/>
          </w:tcPr>
          <w:p w14:paraId="77EF8887"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134" w:type="dxa"/>
          </w:tcPr>
          <w:p w14:paraId="3B55A784" w14:textId="77777777" w:rsidR="005D72AE" w:rsidRPr="00844A25" w:rsidRDefault="005D72AE" w:rsidP="00FA2A1A">
            <w:pPr>
              <w:rPr>
                <w:lang w:val="en-US"/>
              </w:rPr>
            </w:pPr>
            <w:r w:rsidRPr="00844A25">
              <w:rPr>
                <w:lang w:val="en-US"/>
              </w:rPr>
              <w:t>-</w:t>
            </w:r>
          </w:p>
        </w:tc>
        <w:tc>
          <w:tcPr>
            <w:cnfStyle w:val="000001000000" w:firstRow="0" w:lastRow="0" w:firstColumn="0" w:lastColumn="0" w:oddVBand="0" w:evenVBand="1" w:oddHBand="0" w:evenHBand="0" w:firstRowFirstColumn="0" w:firstRowLastColumn="0" w:lastRowFirstColumn="0" w:lastRowLastColumn="0"/>
            <w:tcW w:w="1134" w:type="dxa"/>
          </w:tcPr>
          <w:p w14:paraId="6008522F" w14:textId="77777777" w:rsidR="005D72AE" w:rsidRPr="00844A25" w:rsidRDefault="005D72AE" w:rsidP="00FA2A1A">
            <w:pPr>
              <w:rPr>
                <w:lang w:val="en-US"/>
              </w:rPr>
            </w:pPr>
            <w:r w:rsidRPr="00844A25">
              <w:rPr>
                <w:lang w:val="en-US"/>
              </w:rPr>
              <w:t>(35,373)</w:t>
            </w:r>
          </w:p>
        </w:tc>
      </w:tr>
      <w:tr w:rsidR="005D72AE" w:rsidRPr="00844A25" w14:paraId="2BE766EE" w14:textId="77777777" w:rsidTr="00FA2A1A">
        <w:trPr>
          <w:trHeight w:val="293"/>
        </w:trPr>
        <w:tc>
          <w:tcPr>
            <w:cnfStyle w:val="000010000000" w:firstRow="0" w:lastRow="0" w:firstColumn="0" w:lastColumn="0" w:oddVBand="1" w:evenVBand="0" w:oddHBand="0" w:evenHBand="0" w:firstRowFirstColumn="0" w:firstRowLastColumn="0" w:lastRowFirstColumn="0" w:lastRowLastColumn="0"/>
            <w:tcW w:w="1899" w:type="dxa"/>
          </w:tcPr>
          <w:p w14:paraId="234D7F64" w14:textId="77777777" w:rsidR="005D72AE" w:rsidRPr="00844A25" w:rsidRDefault="005D72AE" w:rsidP="00FA2A1A">
            <w:pPr>
              <w:rPr>
                <w:lang w:val="en-US"/>
              </w:rPr>
            </w:pPr>
            <w:r w:rsidRPr="00844A25">
              <w:rPr>
                <w:lang w:val="en-US"/>
              </w:rPr>
              <w:t>Transfers to held</w:t>
            </w:r>
            <w:r>
              <w:rPr>
                <w:lang w:val="en-US"/>
              </w:rPr>
              <w:t xml:space="preserve"> </w:t>
            </w:r>
            <w:r w:rsidRPr="00844A25">
              <w:rPr>
                <w:lang w:val="en-US"/>
              </w:rPr>
              <w:t>for sale</w:t>
            </w:r>
          </w:p>
        </w:tc>
        <w:tc>
          <w:tcPr>
            <w:cnfStyle w:val="000001000000" w:firstRow="0" w:lastRow="0" w:firstColumn="0" w:lastColumn="0" w:oddVBand="0" w:evenVBand="1" w:oddHBand="0" w:evenHBand="0" w:firstRowFirstColumn="0" w:firstRowLastColumn="0" w:lastRowFirstColumn="0" w:lastRowLastColumn="0"/>
            <w:tcW w:w="1304" w:type="dxa"/>
          </w:tcPr>
          <w:p w14:paraId="6F1CE229"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191" w:type="dxa"/>
          </w:tcPr>
          <w:p w14:paraId="421D3FFF" w14:textId="77777777" w:rsidR="005D72AE" w:rsidRPr="00844A25" w:rsidRDefault="005D72AE" w:rsidP="00FA2A1A">
            <w:pPr>
              <w:rPr>
                <w:lang w:val="en-US"/>
              </w:rPr>
            </w:pPr>
            <w:r w:rsidRPr="00844A25">
              <w:rPr>
                <w:lang w:val="en-US"/>
              </w:rPr>
              <w:t>-</w:t>
            </w:r>
          </w:p>
        </w:tc>
        <w:tc>
          <w:tcPr>
            <w:cnfStyle w:val="000001000000" w:firstRow="0" w:lastRow="0" w:firstColumn="0" w:lastColumn="0" w:oddVBand="0" w:evenVBand="1" w:oddHBand="0" w:evenHBand="0" w:firstRowFirstColumn="0" w:firstRowLastColumn="0" w:lastRowFirstColumn="0" w:lastRowLastColumn="0"/>
            <w:tcW w:w="1134" w:type="dxa"/>
          </w:tcPr>
          <w:p w14:paraId="772CF246"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225" w:type="dxa"/>
          </w:tcPr>
          <w:p w14:paraId="12576311" w14:textId="77777777" w:rsidR="005D72AE" w:rsidRPr="00844A25" w:rsidRDefault="005D72AE" w:rsidP="00FA2A1A">
            <w:pPr>
              <w:rPr>
                <w:lang w:val="en-US"/>
              </w:rPr>
            </w:pPr>
            <w:r w:rsidRPr="00844A25">
              <w:rPr>
                <w:lang w:val="en-US"/>
              </w:rPr>
              <w:t>(27,082)</w:t>
            </w:r>
          </w:p>
        </w:tc>
        <w:tc>
          <w:tcPr>
            <w:cnfStyle w:val="000001000000" w:firstRow="0" w:lastRow="0" w:firstColumn="0" w:lastColumn="0" w:oddVBand="0" w:evenVBand="1" w:oddHBand="0" w:evenHBand="0" w:firstRowFirstColumn="0" w:firstRowLastColumn="0" w:lastRowFirstColumn="0" w:lastRowLastColumn="0"/>
            <w:tcW w:w="1134" w:type="dxa"/>
          </w:tcPr>
          <w:p w14:paraId="3D802B90"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134" w:type="dxa"/>
          </w:tcPr>
          <w:p w14:paraId="7914097A" w14:textId="77777777" w:rsidR="005D72AE" w:rsidRPr="00844A25" w:rsidRDefault="005D72AE" w:rsidP="00FA2A1A">
            <w:pPr>
              <w:rPr>
                <w:lang w:val="en-US"/>
              </w:rPr>
            </w:pPr>
            <w:r w:rsidRPr="00844A25">
              <w:rPr>
                <w:lang w:val="en-US"/>
              </w:rPr>
              <w:t>-</w:t>
            </w:r>
          </w:p>
        </w:tc>
        <w:tc>
          <w:tcPr>
            <w:cnfStyle w:val="000001000000" w:firstRow="0" w:lastRow="0" w:firstColumn="0" w:lastColumn="0" w:oddVBand="0" w:evenVBand="1" w:oddHBand="0" w:evenHBand="0" w:firstRowFirstColumn="0" w:firstRowLastColumn="0" w:lastRowFirstColumn="0" w:lastRowLastColumn="0"/>
            <w:tcW w:w="1134" w:type="dxa"/>
          </w:tcPr>
          <w:p w14:paraId="10BC892E" w14:textId="77777777" w:rsidR="005D72AE" w:rsidRPr="00844A25" w:rsidRDefault="005D72AE" w:rsidP="00FA2A1A">
            <w:pPr>
              <w:rPr>
                <w:lang w:val="en-US"/>
              </w:rPr>
            </w:pPr>
            <w:r w:rsidRPr="00844A25">
              <w:rPr>
                <w:lang w:val="en-US"/>
              </w:rPr>
              <w:t>(27,082)</w:t>
            </w:r>
          </w:p>
        </w:tc>
      </w:tr>
      <w:tr w:rsidR="005D72AE" w:rsidRPr="00844A25" w14:paraId="48192AEB" w14:textId="77777777" w:rsidTr="00FA2A1A">
        <w:trPr>
          <w:cnfStyle w:val="000000100000" w:firstRow="0" w:lastRow="0" w:firstColumn="0" w:lastColumn="0" w:oddVBand="0" w:evenVBand="0" w:oddHBand="1" w:evenHBand="0" w:firstRowFirstColumn="0" w:firstRowLastColumn="0" w:lastRowFirstColumn="0" w:lastRowLastColumn="0"/>
          <w:trHeight w:val="293"/>
        </w:trPr>
        <w:tc>
          <w:tcPr>
            <w:cnfStyle w:val="000010000000" w:firstRow="0" w:lastRow="0" w:firstColumn="0" w:lastColumn="0" w:oddVBand="1" w:evenVBand="0" w:oddHBand="0" w:evenHBand="0" w:firstRowFirstColumn="0" w:firstRowLastColumn="0" w:lastRowFirstColumn="0" w:lastRowLastColumn="0"/>
            <w:tcW w:w="1899" w:type="dxa"/>
          </w:tcPr>
          <w:p w14:paraId="67647B4B" w14:textId="77777777" w:rsidR="005D72AE" w:rsidRPr="00F43169" w:rsidRDefault="005D72AE" w:rsidP="00FA2A1A">
            <w:pPr>
              <w:rPr>
                <w:b/>
                <w:bCs/>
                <w:lang w:val="en-US"/>
              </w:rPr>
            </w:pPr>
            <w:r w:rsidRPr="00F43169">
              <w:rPr>
                <w:b/>
                <w:bCs/>
                <w:lang w:val="en-US"/>
              </w:rPr>
              <w:t>Carrying amount at end of year</w:t>
            </w:r>
          </w:p>
        </w:tc>
        <w:tc>
          <w:tcPr>
            <w:cnfStyle w:val="000001000000" w:firstRow="0" w:lastRow="0" w:firstColumn="0" w:lastColumn="0" w:oddVBand="0" w:evenVBand="1" w:oddHBand="0" w:evenHBand="0" w:firstRowFirstColumn="0" w:firstRowLastColumn="0" w:lastRowFirstColumn="0" w:lastRowLastColumn="0"/>
            <w:tcW w:w="1304" w:type="dxa"/>
          </w:tcPr>
          <w:p w14:paraId="14DAED5A" w14:textId="77777777" w:rsidR="005D72AE" w:rsidRPr="00F43169" w:rsidRDefault="005D72AE" w:rsidP="00FA2A1A">
            <w:pPr>
              <w:rPr>
                <w:b/>
                <w:bCs/>
                <w:lang w:val="en-US"/>
              </w:rPr>
            </w:pPr>
            <w:r w:rsidRPr="00F43169">
              <w:rPr>
                <w:b/>
                <w:bCs/>
                <w:lang w:val="en-US"/>
              </w:rPr>
              <w:t>-</w:t>
            </w:r>
          </w:p>
        </w:tc>
        <w:tc>
          <w:tcPr>
            <w:cnfStyle w:val="000010000000" w:firstRow="0" w:lastRow="0" w:firstColumn="0" w:lastColumn="0" w:oddVBand="1" w:evenVBand="0" w:oddHBand="0" w:evenHBand="0" w:firstRowFirstColumn="0" w:firstRowLastColumn="0" w:lastRowFirstColumn="0" w:lastRowLastColumn="0"/>
            <w:tcW w:w="1191" w:type="dxa"/>
          </w:tcPr>
          <w:p w14:paraId="2DD047E6" w14:textId="77777777" w:rsidR="005D72AE" w:rsidRPr="00F43169" w:rsidRDefault="005D72AE" w:rsidP="00FA2A1A">
            <w:pPr>
              <w:rPr>
                <w:b/>
                <w:bCs/>
                <w:lang w:val="en-US"/>
              </w:rPr>
            </w:pPr>
            <w:r w:rsidRPr="00F43169">
              <w:rPr>
                <w:b/>
                <w:bCs/>
                <w:lang w:val="en-US"/>
              </w:rPr>
              <w:t>56,784</w:t>
            </w:r>
          </w:p>
        </w:tc>
        <w:tc>
          <w:tcPr>
            <w:cnfStyle w:val="000001000000" w:firstRow="0" w:lastRow="0" w:firstColumn="0" w:lastColumn="0" w:oddVBand="0" w:evenVBand="1" w:oddHBand="0" w:evenHBand="0" w:firstRowFirstColumn="0" w:firstRowLastColumn="0" w:lastRowFirstColumn="0" w:lastRowLastColumn="0"/>
            <w:tcW w:w="1134" w:type="dxa"/>
          </w:tcPr>
          <w:p w14:paraId="2A6310DB" w14:textId="77777777" w:rsidR="005D72AE" w:rsidRPr="00F43169" w:rsidRDefault="005D72AE" w:rsidP="00FA2A1A">
            <w:pPr>
              <w:rPr>
                <w:b/>
                <w:bCs/>
                <w:lang w:val="en-US"/>
              </w:rPr>
            </w:pPr>
            <w:r w:rsidRPr="00F43169">
              <w:rPr>
                <w:b/>
                <w:bCs/>
                <w:lang w:val="en-US"/>
              </w:rPr>
              <w:t>-</w:t>
            </w:r>
          </w:p>
        </w:tc>
        <w:tc>
          <w:tcPr>
            <w:cnfStyle w:val="000010000000" w:firstRow="0" w:lastRow="0" w:firstColumn="0" w:lastColumn="0" w:oddVBand="1" w:evenVBand="0" w:oddHBand="0" w:evenHBand="0" w:firstRowFirstColumn="0" w:firstRowLastColumn="0" w:lastRowFirstColumn="0" w:lastRowLastColumn="0"/>
            <w:tcW w:w="1225" w:type="dxa"/>
          </w:tcPr>
          <w:p w14:paraId="358A7448" w14:textId="77777777" w:rsidR="005D72AE" w:rsidRPr="00F43169" w:rsidRDefault="005D72AE" w:rsidP="00FA2A1A">
            <w:pPr>
              <w:rPr>
                <w:b/>
                <w:bCs/>
                <w:lang w:val="en-US"/>
              </w:rPr>
            </w:pPr>
            <w:r w:rsidRPr="00F43169">
              <w:rPr>
                <w:b/>
                <w:bCs/>
                <w:lang w:val="en-US"/>
              </w:rPr>
              <w:t>15,986</w:t>
            </w:r>
          </w:p>
        </w:tc>
        <w:tc>
          <w:tcPr>
            <w:cnfStyle w:val="000001000000" w:firstRow="0" w:lastRow="0" w:firstColumn="0" w:lastColumn="0" w:oddVBand="0" w:evenVBand="1" w:oddHBand="0" w:evenHBand="0" w:firstRowFirstColumn="0" w:firstRowLastColumn="0" w:lastRowFirstColumn="0" w:lastRowLastColumn="0"/>
            <w:tcW w:w="1134" w:type="dxa"/>
          </w:tcPr>
          <w:p w14:paraId="1B9BB604" w14:textId="77777777" w:rsidR="005D72AE" w:rsidRPr="00F43169" w:rsidRDefault="005D72AE" w:rsidP="00FA2A1A">
            <w:pPr>
              <w:rPr>
                <w:b/>
                <w:bCs/>
                <w:lang w:val="en-US"/>
              </w:rPr>
            </w:pPr>
            <w:r w:rsidRPr="00F43169">
              <w:rPr>
                <w:b/>
                <w:bCs/>
                <w:lang w:val="en-US"/>
              </w:rPr>
              <w:t>139,716</w:t>
            </w:r>
          </w:p>
        </w:tc>
        <w:tc>
          <w:tcPr>
            <w:cnfStyle w:val="000010000000" w:firstRow="0" w:lastRow="0" w:firstColumn="0" w:lastColumn="0" w:oddVBand="1" w:evenVBand="0" w:oddHBand="0" w:evenHBand="0" w:firstRowFirstColumn="0" w:firstRowLastColumn="0" w:lastRowFirstColumn="0" w:lastRowLastColumn="0"/>
            <w:tcW w:w="1134" w:type="dxa"/>
          </w:tcPr>
          <w:p w14:paraId="3FA27259" w14:textId="77777777" w:rsidR="005D72AE" w:rsidRPr="00F43169" w:rsidRDefault="005D72AE" w:rsidP="00FA2A1A">
            <w:pPr>
              <w:rPr>
                <w:b/>
                <w:bCs/>
                <w:lang w:val="en-US"/>
              </w:rPr>
            </w:pPr>
            <w:r w:rsidRPr="00F43169">
              <w:rPr>
                <w:b/>
                <w:bCs/>
                <w:lang w:val="en-US"/>
              </w:rPr>
              <w:t>37,902</w:t>
            </w:r>
          </w:p>
        </w:tc>
        <w:tc>
          <w:tcPr>
            <w:cnfStyle w:val="000001000000" w:firstRow="0" w:lastRow="0" w:firstColumn="0" w:lastColumn="0" w:oddVBand="0" w:evenVBand="1" w:oddHBand="0" w:evenHBand="0" w:firstRowFirstColumn="0" w:firstRowLastColumn="0" w:lastRowFirstColumn="0" w:lastRowLastColumn="0"/>
            <w:tcW w:w="1134" w:type="dxa"/>
          </w:tcPr>
          <w:p w14:paraId="56099154" w14:textId="77777777" w:rsidR="005D72AE" w:rsidRPr="00F43169" w:rsidRDefault="005D72AE" w:rsidP="00FA2A1A">
            <w:pPr>
              <w:rPr>
                <w:b/>
                <w:bCs/>
                <w:lang w:val="en-US"/>
              </w:rPr>
            </w:pPr>
            <w:r w:rsidRPr="00F43169">
              <w:rPr>
                <w:b/>
                <w:bCs/>
                <w:lang w:val="en-US"/>
              </w:rPr>
              <w:t>250,388</w:t>
            </w:r>
          </w:p>
        </w:tc>
      </w:tr>
    </w:tbl>
    <w:p w14:paraId="08904653" w14:textId="77777777" w:rsidR="005D72AE" w:rsidRPr="00844A25" w:rsidRDefault="005D72AE" w:rsidP="005D72AE">
      <w:pPr>
        <w:rPr>
          <w:i/>
          <w:iCs/>
          <w:lang w:val="en-US"/>
        </w:rPr>
      </w:pPr>
      <w:r w:rsidRPr="00844A25">
        <w:rPr>
          <w:i/>
          <w:iCs/>
          <w:lang w:val="en-US"/>
        </w:rPr>
        <w:t>(a) The opening balance also includes amounts transferred from finance lease assets (recognised under AASB 117 at 30 June 2019) to right-of-use assets (recognised under AASB 16 at 1 July 2019).</w:t>
      </w:r>
    </w:p>
    <w:p w14:paraId="21E6A689" w14:textId="77777777" w:rsidR="005D72AE" w:rsidRPr="00844A25" w:rsidRDefault="005D72AE" w:rsidP="005D72AE">
      <w:pPr>
        <w:rPr>
          <w:i/>
          <w:iCs/>
          <w:lang w:val="en-US"/>
        </w:rPr>
      </w:pPr>
      <w:r w:rsidRPr="00844A25">
        <w:rPr>
          <w:i/>
          <w:iCs/>
          <w:lang w:val="en-US"/>
        </w:rPr>
        <w:t>(b) This balance represents the initial recognition of right-of-use assets recorded on the balance sheet on 1 July 2019 relating</w:t>
      </w:r>
      <w:r>
        <w:rPr>
          <w:i/>
          <w:iCs/>
          <w:lang w:val="en-US"/>
        </w:rPr>
        <w:t xml:space="preserve"> </w:t>
      </w:r>
      <w:r w:rsidRPr="00844A25">
        <w:rPr>
          <w:i/>
          <w:iCs/>
          <w:lang w:val="en-US"/>
        </w:rPr>
        <w:t>to operating leases.</w:t>
      </w:r>
    </w:p>
    <w:p w14:paraId="288F9B14" w14:textId="77777777" w:rsidR="005D72AE" w:rsidRPr="00844A25" w:rsidRDefault="005D72AE" w:rsidP="005D72AE">
      <w:pPr>
        <w:rPr>
          <w:i/>
          <w:iCs/>
          <w:lang w:val="en-US"/>
        </w:rPr>
      </w:pPr>
      <w:r w:rsidRPr="00844A25">
        <w:rPr>
          <w:i/>
          <w:iCs/>
          <w:lang w:val="en-US"/>
        </w:rPr>
        <w:t>(c) From 1 November 2019, lease payments on the commission’s accommodation are recognised in DTF’s Administered</w:t>
      </w:r>
      <w:r>
        <w:rPr>
          <w:i/>
          <w:iCs/>
          <w:lang w:val="en-US"/>
        </w:rPr>
        <w:t xml:space="preserve"> </w:t>
      </w:r>
      <w:r w:rsidRPr="00844A25">
        <w:rPr>
          <w:i/>
          <w:iCs/>
          <w:lang w:val="en-US"/>
        </w:rPr>
        <w:t>items, following the implementation of the Centralised Accommodation Management strategy across the whole of government. The Centralised Accommodation Management strategy is described in Note 9.2.1.</w:t>
      </w:r>
    </w:p>
    <w:p w14:paraId="283D28C8" w14:textId="77777777" w:rsidR="005D72AE" w:rsidRPr="00844A25" w:rsidRDefault="005D72AE" w:rsidP="005D72AE">
      <w:pPr>
        <w:pStyle w:val="Heading3"/>
      </w:pPr>
      <w:r w:rsidRPr="00844A25">
        <w:t xml:space="preserve">5.2. Intangible assets </w:t>
      </w:r>
    </w:p>
    <w:tbl>
      <w:tblPr>
        <w:tblStyle w:val="PlainTable2"/>
        <w:tblW w:w="9343" w:type="dxa"/>
        <w:tblLayout w:type="fixed"/>
        <w:tblLook w:val="0000" w:firstRow="0" w:lastRow="0" w:firstColumn="0" w:lastColumn="0" w:noHBand="0" w:noVBand="0"/>
      </w:tblPr>
      <w:tblGrid>
        <w:gridCol w:w="6732"/>
        <w:gridCol w:w="1305"/>
        <w:gridCol w:w="1306"/>
      </w:tblGrid>
      <w:tr w:rsidR="005D72AE" w:rsidRPr="00844A25" w14:paraId="69EC7C0F" w14:textId="77777777" w:rsidTr="00FA2A1A">
        <w:trPr>
          <w:cnfStyle w:val="000000100000" w:firstRow="0" w:lastRow="0" w:firstColumn="0" w:lastColumn="0" w:oddVBand="0" w:evenVBand="0" w:oddHBand="1" w:evenHBand="0" w:firstRowFirstColumn="0" w:firstRowLastColumn="0" w:lastRowFirstColumn="0" w:lastRowLastColumn="0"/>
          <w:trHeight w:val="58"/>
        </w:trPr>
        <w:tc>
          <w:tcPr>
            <w:cnfStyle w:val="000010000000" w:firstRow="0" w:lastRow="0" w:firstColumn="0" w:lastColumn="0" w:oddVBand="1" w:evenVBand="0" w:oddHBand="0" w:evenHBand="0" w:firstRowFirstColumn="0" w:firstRowLastColumn="0" w:lastRowFirstColumn="0" w:lastRowLastColumn="0"/>
            <w:tcW w:w="6732" w:type="dxa"/>
          </w:tcPr>
          <w:p w14:paraId="4D524451" w14:textId="77777777" w:rsidR="005D72AE" w:rsidRPr="0064463C"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305" w:type="dxa"/>
            <w:shd w:val="clear" w:color="auto" w:fill="F2F2F2" w:themeFill="background1" w:themeFillShade="F2"/>
          </w:tcPr>
          <w:p w14:paraId="6813B216" w14:textId="77777777" w:rsidR="005D72AE" w:rsidRPr="0064463C" w:rsidRDefault="005D72AE" w:rsidP="00FA2A1A">
            <w:pPr>
              <w:rPr>
                <w:b/>
                <w:bCs/>
                <w:lang w:val="en-US"/>
              </w:rPr>
            </w:pPr>
            <w:r w:rsidRPr="0064463C">
              <w:rPr>
                <w:b/>
                <w:bCs/>
                <w:lang w:val="en-US"/>
              </w:rPr>
              <w:t>2020</w:t>
            </w:r>
          </w:p>
        </w:tc>
        <w:tc>
          <w:tcPr>
            <w:cnfStyle w:val="000010000000" w:firstRow="0" w:lastRow="0" w:firstColumn="0" w:lastColumn="0" w:oddVBand="1" w:evenVBand="0" w:oddHBand="0" w:evenHBand="0" w:firstRowFirstColumn="0" w:firstRowLastColumn="0" w:lastRowFirstColumn="0" w:lastRowLastColumn="0"/>
            <w:tcW w:w="1306" w:type="dxa"/>
          </w:tcPr>
          <w:p w14:paraId="56A3EDF4" w14:textId="77777777" w:rsidR="005D72AE" w:rsidRPr="00343F15" w:rsidRDefault="005D72AE" w:rsidP="00FA2A1A">
            <w:pPr>
              <w:rPr>
                <w:b/>
                <w:bCs/>
                <w:lang w:val="en-US"/>
              </w:rPr>
            </w:pPr>
            <w:r w:rsidRPr="00343F15">
              <w:rPr>
                <w:b/>
                <w:bCs/>
                <w:lang w:val="en-US"/>
              </w:rPr>
              <w:t>2019</w:t>
            </w:r>
          </w:p>
        </w:tc>
      </w:tr>
      <w:tr w:rsidR="005D72AE" w:rsidRPr="00844A25" w14:paraId="67FED9A8" w14:textId="77777777" w:rsidTr="00FA2A1A">
        <w:trPr>
          <w:trHeight w:val="58"/>
        </w:trPr>
        <w:tc>
          <w:tcPr>
            <w:cnfStyle w:val="000010000000" w:firstRow="0" w:lastRow="0" w:firstColumn="0" w:lastColumn="0" w:oddVBand="1" w:evenVBand="0" w:oddHBand="0" w:evenHBand="0" w:firstRowFirstColumn="0" w:firstRowLastColumn="0" w:lastRowFirstColumn="0" w:lastRowLastColumn="0"/>
            <w:tcW w:w="6732" w:type="dxa"/>
          </w:tcPr>
          <w:p w14:paraId="30604429" w14:textId="77777777" w:rsidR="005D72AE" w:rsidRPr="0064463C"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305" w:type="dxa"/>
            <w:shd w:val="clear" w:color="auto" w:fill="F2F2F2" w:themeFill="background1" w:themeFillShade="F2"/>
          </w:tcPr>
          <w:p w14:paraId="7823A445" w14:textId="77777777" w:rsidR="005D72AE" w:rsidRPr="0064463C" w:rsidRDefault="005D72AE" w:rsidP="00FA2A1A">
            <w:pPr>
              <w:rPr>
                <w:b/>
                <w:bCs/>
                <w:lang w:val="en-US"/>
              </w:rPr>
            </w:pPr>
            <w:r w:rsidRPr="0064463C">
              <w:rPr>
                <w:b/>
                <w:bCs/>
                <w:lang w:val="en-US"/>
              </w:rPr>
              <w:t>$</w:t>
            </w:r>
          </w:p>
        </w:tc>
        <w:tc>
          <w:tcPr>
            <w:cnfStyle w:val="000010000000" w:firstRow="0" w:lastRow="0" w:firstColumn="0" w:lastColumn="0" w:oddVBand="1" w:evenVBand="0" w:oddHBand="0" w:evenHBand="0" w:firstRowFirstColumn="0" w:firstRowLastColumn="0" w:lastRowFirstColumn="0" w:lastRowLastColumn="0"/>
            <w:tcW w:w="1306" w:type="dxa"/>
          </w:tcPr>
          <w:p w14:paraId="0A61E0EF" w14:textId="77777777" w:rsidR="005D72AE" w:rsidRPr="00343F15" w:rsidRDefault="005D72AE" w:rsidP="00FA2A1A">
            <w:pPr>
              <w:rPr>
                <w:b/>
                <w:bCs/>
                <w:lang w:val="en-US"/>
              </w:rPr>
            </w:pPr>
            <w:r w:rsidRPr="00343F15">
              <w:rPr>
                <w:b/>
                <w:bCs/>
                <w:lang w:val="en-US"/>
              </w:rPr>
              <w:t>$</w:t>
            </w:r>
          </w:p>
        </w:tc>
      </w:tr>
      <w:tr w:rsidR="005D72AE" w:rsidRPr="00844A25" w14:paraId="5030362A" w14:textId="77777777" w:rsidTr="00FA2A1A">
        <w:trPr>
          <w:cnfStyle w:val="000000100000" w:firstRow="0" w:lastRow="0" w:firstColumn="0" w:lastColumn="0" w:oddVBand="0" w:evenVBand="0" w:oddHBand="1" w:evenHBand="0" w:firstRowFirstColumn="0" w:firstRowLastColumn="0" w:lastRowFirstColumn="0" w:lastRowLastColumn="0"/>
          <w:trHeight w:val="58"/>
        </w:trPr>
        <w:tc>
          <w:tcPr>
            <w:cnfStyle w:val="000010000000" w:firstRow="0" w:lastRow="0" w:firstColumn="0" w:lastColumn="0" w:oddVBand="1" w:evenVBand="0" w:oddHBand="0" w:evenHBand="0" w:firstRowFirstColumn="0" w:firstRowLastColumn="0" w:lastRowFirstColumn="0" w:lastRowLastColumn="0"/>
            <w:tcW w:w="6732" w:type="dxa"/>
          </w:tcPr>
          <w:p w14:paraId="36F10202" w14:textId="77777777" w:rsidR="005D72AE" w:rsidRPr="00844A25" w:rsidRDefault="005D72AE" w:rsidP="00FA2A1A">
            <w:pPr>
              <w:rPr>
                <w:lang w:val="en-US"/>
              </w:rPr>
            </w:pPr>
            <w:r w:rsidRPr="00844A25">
              <w:rPr>
                <w:lang w:val="en-US"/>
              </w:rPr>
              <w:t>Intangible assets under development</w:t>
            </w:r>
          </w:p>
        </w:tc>
        <w:tc>
          <w:tcPr>
            <w:cnfStyle w:val="000001000000" w:firstRow="0" w:lastRow="0" w:firstColumn="0" w:lastColumn="0" w:oddVBand="0" w:evenVBand="1" w:oddHBand="0" w:evenHBand="0" w:firstRowFirstColumn="0" w:firstRowLastColumn="0" w:lastRowFirstColumn="0" w:lastRowLastColumn="0"/>
            <w:tcW w:w="1305" w:type="dxa"/>
            <w:shd w:val="clear" w:color="auto" w:fill="F2F2F2" w:themeFill="background1" w:themeFillShade="F2"/>
          </w:tcPr>
          <w:p w14:paraId="56E6E9DB" w14:textId="77777777" w:rsidR="005D72AE" w:rsidRPr="0064463C" w:rsidRDefault="005D72AE" w:rsidP="00FA2A1A">
            <w:pPr>
              <w:rPr>
                <w:lang w:val="en-US"/>
              </w:rPr>
            </w:pPr>
            <w:r w:rsidRPr="0064463C">
              <w:rPr>
                <w:lang w:val="en-US"/>
              </w:rPr>
              <w:t>1,382,745</w:t>
            </w:r>
          </w:p>
        </w:tc>
        <w:tc>
          <w:tcPr>
            <w:cnfStyle w:val="000010000000" w:firstRow="0" w:lastRow="0" w:firstColumn="0" w:lastColumn="0" w:oddVBand="1" w:evenVBand="0" w:oddHBand="0" w:evenHBand="0" w:firstRowFirstColumn="0" w:firstRowLastColumn="0" w:lastRowFirstColumn="0" w:lastRowLastColumn="0"/>
            <w:tcW w:w="1306" w:type="dxa"/>
          </w:tcPr>
          <w:p w14:paraId="73A65C4F" w14:textId="77777777" w:rsidR="005D72AE" w:rsidRPr="00844A25" w:rsidRDefault="005D72AE" w:rsidP="00FA2A1A">
            <w:pPr>
              <w:rPr>
                <w:lang w:val="en-US"/>
              </w:rPr>
            </w:pPr>
            <w:r w:rsidRPr="00844A25">
              <w:rPr>
                <w:lang w:val="en-US"/>
              </w:rPr>
              <w:t>-</w:t>
            </w:r>
          </w:p>
        </w:tc>
      </w:tr>
      <w:tr w:rsidR="005D72AE" w:rsidRPr="00844A25" w14:paraId="178329C4" w14:textId="77777777" w:rsidTr="00FA2A1A">
        <w:trPr>
          <w:trHeight w:val="58"/>
        </w:trPr>
        <w:tc>
          <w:tcPr>
            <w:cnfStyle w:val="000010000000" w:firstRow="0" w:lastRow="0" w:firstColumn="0" w:lastColumn="0" w:oddVBand="1" w:evenVBand="0" w:oddHBand="0" w:evenHBand="0" w:firstRowFirstColumn="0" w:firstRowLastColumn="0" w:lastRowFirstColumn="0" w:lastRowLastColumn="0"/>
            <w:tcW w:w="6732" w:type="dxa"/>
          </w:tcPr>
          <w:p w14:paraId="649ABFA6" w14:textId="77777777" w:rsidR="005D72AE" w:rsidRPr="00844A25"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1305" w:type="dxa"/>
            <w:shd w:val="clear" w:color="auto" w:fill="F2F2F2" w:themeFill="background1" w:themeFillShade="F2"/>
          </w:tcPr>
          <w:p w14:paraId="1FB72DB5" w14:textId="77777777" w:rsidR="005D72AE" w:rsidRPr="0064463C"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306" w:type="dxa"/>
          </w:tcPr>
          <w:p w14:paraId="51612988" w14:textId="77777777" w:rsidR="005D72AE" w:rsidRPr="00844A25" w:rsidRDefault="005D72AE" w:rsidP="00FA2A1A">
            <w:pPr>
              <w:rPr>
                <w:lang w:val="en-GB"/>
              </w:rPr>
            </w:pPr>
          </w:p>
        </w:tc>
      </w:tr>
      <w:tr w:rsidR="005D72AE" w:rsidRPr="00844A25" w14:paraId="6D85D2FE" w14:textId="77777777" w:rsidTr="00FA2A1A">
        <w:trPr>
          <w:cnfStyle w:val="000000100000" w:firstRow="0" w:lastRow="0" w:firstColumn="0" w:lastColumn="0" w:oddVBand="0" w:evenVBand="0" w:oddHBand="1" w:evenHBand="0" w:firstRowFirstColumn="0" w:firstRowLastColumn="0" w:lastRowFirstColumn="0" w:lastRowLastColumn="0"/>
          <w:trHeight w:val="58"/>
        </w:trPr>
        <w:tc>
          <w:tcPr>
            <w:cnfStyle w:val="000010000000" w:firstRow="0" w:lastRow="0" w:firstColumn="0" w:lastColumn="0" w:oddVBand="1" w:evenVBand="0" w:oddHBand="0" w:evenHBand="0" w:firstRowFirstColumn="0" w:firstRowLastColumn="0" w:lastRowFirstColumn="0" w:lastRowLastColumn="0"/>
            <w:tcW w:w="6732" w:type="dxa"/>
          </w:tcPr>
          <w:p w14:paraId="1DE5F223" w14:textId="77777777" w:rsidR="005D72AE" w:rsidRPr="00844A25" w:rsidRDefault="005D72AE" w:rsidP="00FA2A1A">
            <w:pPr>
              <w:rPr>
                <w:lang w:val="en-US"/>
              </w:rPr>
            </w:pPr>
            <w:r w:rsidRPr="00844A25">
              <w:rPr>
                <w:lang w:val="en-US"/>
              </w:rPr>
              <w:t>Reconciliation of carrying amounts</w:t>
            </w:r>
          </w:p>
        </w:tc>
        <w:tc>
          <w:tcPr>
            <w:cnfStyle w:val="000001000000" w:firstRow="0" w:lastRow="0" w:firstColumn="0" w:lastColumn="0" w:oddVBand="0" w:evenVBand="1" w:oddHBand="0" w:evenHBand="0" w:firstRowFirstColumn="0" w:firstRowLastColumn="0" w:lastRowFirstColumn="0" w:lastRowLastColumn="0"/>
            <w:tcW w:w="1305" w:type="dxa"/>
            <w:shd w:val="clear" w:color="auto" w:fill="F2F2F2" w:themeFill="background1" w:themeFillShade="F2"/>
          </w:tcPr>
          <w:p w14:paraId="1986E975" w14:textId="77777777" w:rsidR="005D72AE" w:rsidRPr="0064463C"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306" w:type="dxa"/>
          </w:tcPr>
          <w:p w14:paraId="67B6DE94" w14:textId="77777777" w:rsidR="005D72AE" w:rsidRPr="00844A25" w:rsidRDefault="005D72AE" w:rsidP="00FA2A1A">
            <w:pPr>
              <w:rPr>
                <w:lang w:val="en-GB"/>
              </w:rPr>
            </w:pPr>
          </w:p>
        </w:tc>
      </w:tr>
      <w:tr w:rsidR="005D72AE" w:rsidRPr="00844A25" w14:paraId="35FA9E43" w14:textId="77777777" w:rsidTr="00FA2A1A">
        <w:trPr>
          <w:trHeight w:val="58"/>
        </w:trPr>
        <w:tc>
          <w:tcPr>
            <w:cnfStyle w:val="000010000000" w:firstRow="0" w:lastRow="0" w:firstColumn="0" w:lastColumn="0" w:oddVBand="1" w:evenVBand="0" w:oddHBand="0" w:evenHBand="0" w:firstRowFirstColumn="0" w:firstRowLastColumn="0" w:lastRowFirstColumn="0" w:lastRowLastColumn="0"/>
            <w:tcW w:w="6732" w:type="dxa"/>
          </w:tcPr>
          <w:p w14:paraId="41FC4472" w14:textId="77777777" w:rsidR="005D72AE" w:rsidRPr="00844A25" w:rsidRDefault="005D72AE" w:rsidP="00FA2A1A">
            <w:pPr>
              <w:rPr>
                <w:lang w:val="en-US"/>
              </w:rPr>
            </w:pPr>
            <w:r w:rsidRPr="00844A25">
              <w:rPr>
                <w:lang w:val="en-US"/>
              </w:rPr>
              <w:t>Carrying amount at start of year</w:t>
            </w:r>
          </w:p>
        </w:tc>
        <w:tc>
          <w:tcPr>
            <w:cnfStyle w:val="000001000000" w:firstRow="0" w:lastRow="0" w:firstColumn="0" w:lastColumn="0" w:oddVBand="0" w:evenVBand="1" w:oddHBand="0" w:evenHBand="0" w:firstRowFirstColumn="0" w:firstRowLastColumn="0" w:lastRowFirstColumn="0" w:lastRowLastColumn="0"/>
            <w:tcW w:w="1305" w:type="dxa"/>
            <w:shd w:val="clear" w:color="auto" w:fill="F2F2F2" w:themeFill="background1" w:themeFillShade="F2"/>
          </w:tcPr>
          <w:p w14:paraId="05DAB218" w14:textId="77777777" w:rsidR="005D72AE" w:rsidRPr="0064463C" w:rsidRDefault="005D72AE" w:rsidP="00FA2A1A">
            <w:pPr>
              <w:rPr>
                <w:lang w:val="en-US"/>
              </w:rPr>
            </w:pPr>
            <w:r w:rsidRPr="0064463C">
              <w:rPr>
                <w:lang w:val="en-US"/>
              </w:rPr>
              <w:t>-</w:t>
            </w:r>
          </w:p>
        </w:tc>
        <w:tc>
          <w:tcPr>
            <w:cnfStyle w:val="000010000000" w:firstRow="0" w:lastRow="0" w:firstColumn="0" w:lastColumn="0" w:oddVBand="1" w:evenVBand="0" w:oddHBand="0" w:evenHBand="0" w:firstRowFirstColumn="0" w:firstRowLastColumn="0" w:lastRowFirstColumn="0" w:lastRowLastColumn="0"/>
            <w:tcW w:w="1306" w:type="dxa"/>
          </w:tcPr>
          <w:p w14:paraId="31EEECAE" w14:textId="77777777" w:rsidR="005D72AE" w:rsidRPr="00844A25" w:rsidRDefault="005D72AE" w:rsidP="00FA2A1A">
            <w:pPr>
              <w:rPr>
                <w:lang w:val="en-US"/>
              </w:rPr>
            </w:pPr>
            <w:r w:rsidRPr="00844A25">
              <w:rPr>
                <w:lang w:val="en-US"/>
              </w:rPr>
              <w:t>-</w:t>
            </w:r>
          </w:p>
        </w:tc>
      </w:tr>
      <w:tr w:rsidR="005D72AE" w:rsidRPr="00844A25" w14:paraId="31A3682D" w14:textId="77777777" w:rsidTr="00FA2A1A">
        <w:trPr>
          <w:cnfStyle w:val="000000100000" w:firstRow="0" w:lastRow="0" w:firstColumn="0" w:lastColumn="0" w:oddVBand="0" w:evenVBand="0" w:oddHBand="1" w:evenHBand="0" w:firstRowFirstColumn="0" w:firstRowLastColumn="0" w:lastRowFirstColumn="0" w:lastRowLastColumn="0"/>
          <w:trHeight w:val="58"/>
        </w:trPr>
        <w:tc>
          <w:tcPr>
            <w:cnfStyle w:val="000010000000" w:firstRow="0" w:lastRow="0" w:firstColumn="0" w:lastColumn="0" w:oddVBand="1" w:evenVBand="0" w:oddHBand="0" w:evenHBand="0" w:firstRowFirstColumn="0" w:firstRowLastColumn="0" w:lastRowFirstColumn="0" w:lastRowLastColumn="0"/>
            <w:tcW w:w="6732" w:type="dxa"/>
          </w:tcPr>
          <w:p w14:paraId="6A963C04" w14:textId="77777777" w:rsidR="005D72AE" w:rsidRPr="00844A25" w:rsidRDefault="005D72AE" w:rsidP="00FA2A1A">
            <w:pPr>
              <w:rPr>
                <w:lang w:val="en-US"/>
              </w:rPr>
            </w:pPr>
            <w:r w:rsidRPr="00844A25">
              <w:rPr>
                <w:lang w:val="en-US"/>
              </w:rPr>
              <w:lastRenderedPageBreak/>
              <w:t>Additions</w:t>
            </w:r>
          </w:p>
        </w:tc>
        <w:tc>
          <w:tcPr>
            <w:cnfStyle w:val="000001000000" w:firstRow="0" w:lastRow="0" w:firstColumn="0" w:lastColumn="0" w:oddVBand="0" w:evenVBand="1" w:oddHBand="0" w:evenHBand="0" w:firstRowFirstColumn="0" w:firstRowLastColumn="0" w:lastRowFirstColumn="0" w:lastRowLastColumn="0"/>
            <w:tcW w:w="1305" w:type="dxa"/>
            <w:shd w:val="clear" w:color="auto" w:fill="F2F2F2" w:themeFill="background1" w:themeFillShade="F2"/>
          </w:tcPr>
          <w:p w14:paraId="208950D4" w14:textId="77777777" w:rsidR="005D72AE" w:rsidRPr="0064463C" w:rsidRDefault="005D72AE" w:rsidP="00FA2A1A">
            <w:pPr>
              <w:rPr>
                <w:lang w:val="en-US"/>
              </w:rPr>
            </w:pPr>
            <w:r w:rsidRPr="0064463C">
              <w:rPr>
                <w:lang w:val="en-US"/>
              </w:rPr>
              <w:t>1,382,745</w:t>
            </w:r>
          </w:p>
        </w:tc>
        <w:tc>
          <w:tcPr>
            <w:cnfStyle w:val="000010000000" w:firstRow="0" w:lastRow="0" w:firstColumn="0" w:lastColumn="0" w:oddVBand="1" w:evenVBand="0" w:oddHBand="0" w:evenHBand="0" w:firstRowFirstColumn="0" w:firstRowLastColumn="0" w:lastRowFirstColumn="0" w:lastRowLastColumn="0"/>
            <w:tcW w:w="1306" w:type="dxa"/>
          </w:tcPr>
          <w:p w14:paraId="4EEE93A8" w14:textId="77777777" w:rsidR="005D72AE" w:rsidRPr="00844A25" w:rsidRDefault="005D72AE" w:rsidP="00FA2A1A">
            <w:pPr>
              <w:rPr>
                <w:lang w:val="en-US"/>
              </w:rPr>
            </w:pPr>
            <w:r w:rsidRPr="00844A25">
              <w:rPr>
                <w:lang w:val="en-US"/>
              </w:rPr>
              <w:t>-</w:t>
            </w:r>
          </w:p>
        </w:tc>
      </w:tr>
      <w:tr w:rsidR="005D72AE" w:rsidRPr="00844A25" w14:paraId="0395CAB7" w14:textId="77777777" w:rsidTr="00FA2A1A">
        <w:trPr>
          <w:trHeight w:val="58"/>
        </w:trPr>
        <w:tc>
          <w:tcPr>
            <w:cnfStyle w:val="000010000000" w:firstRow="0" w:lastRow="0" w:firstColumn="0" w:lastColumn="0" w:oddVBand="1" w:evenVBand="0" w:oddHBand="0" w:evenHBand="0" w:firstRowFirstColumn="0" w:firstRowLastColumn="0" w:lastRowFirstColumn="0" w:lastRowLastColumn="0"/>
            <w:tcW w:w="6732" w:type="dxa"/>
          </w:tcPr>
          <w:p w14:paraId="64E05F83" w14:textId="77777777" w:rsidR="005D72AE" w:rsidRPr="00844A25" w:rsidRDefault="005D72AE" w:rsidP="00FA2A1A">
            <w:pPr>
              <w:rPr>
                <w:lang w:val="en-US"/>
              </w:rPr>
            </w:pPr>
            <w:r w:rsidRPr="00844A25">
              <w:rPr>
                <w:lang w:val="en-US"/>
              </w:rPr>
              <w:t>Depreciation expense</w:t>
            </w:r>
          </w:p>
        </w:tc>
        <w:tc>
          <w:tcPr>
            <w:cnfStyle w:val="000001000000" w:firstRow="0" w:lastRow="0" w:firstColumn="0" w:lastColumn="0" w:oddVBand="0" w:evenVBand="1" w:oddHBand="0" w:evenHBand="0" w:firstRowFirstColumn="0" w:firstRowLastColumn="0" w:lastRowFirstColumn="0" w:lastRowLastColumn="0"/>
            <w:tcW w:w="1305" w:type="dxa"/>
            <w:shd w:val="clear" w:color="auto" w:fill="F2F2F2" w:themeFill="background1" w:themeFillShade="F2"/>
          </w:tcPr>
          <w:p w14:paraId="0EBD0447" w14:textId="77777777" w:rsidR="005D72AE" w:rsidRPr="0064463C" w:rsidRDefault="005D72AE" w:rsidP="00FA2A1A">
            <w:pPr>
              <w:rPr>
                <w:lang w:val="en-US"/>
              </w:rPr>
            </w:pPr>
            <w:r w:rsidRPr="0064463C">
              <w:rPr>
                <w:lang w:val="en-US"/>
              </w:rPr>
              <w:t>-</w:t>
            </w:r>
          </w:p>
        </w:tc>
        <w:tc>
          <w:tcPr>
            <w:cnfStyle w:val="000010000000" w:firstRow="0" w:lastRow="0" w:firstColumn="0" w:lastColumn="0" w:oddVBand="1" w:evenVBand="0" w:oddHBand="0" w:evenHBand="0" w:firstRowFirstColumn="0" w:firstRowLastColumn="0" w:lastRowFirstColumn="0" w:lastRowLastColumn="0"/>
            <w:tcW w:w="1306" w:type="dxa"/>
          </w:tcPr>
          <w:p w14:paraId="0459C98D" w14:textId="77777777" w:rsidR="005D72AE" w:rsidRPr="00844A25" w:rsidRDefault="005D72AE" w:rsidP="00FA2A1A">
            <w:pPr>
              <w:rPr>
                <w:lang w:val="en-US"/>
              </w:rPr>
            </w:pPr>
            <w:r w:rsidRPr="00844A25">
              <w:rPr>
                <w:lang w:val="en-US"/>
              </w:rPr>
              <w:t>-</w:t>
            </w:r>
          </w:p>
        </w:tc>
      </w:tr>
      <w:tr w:rsidR="005D72AE" w:rsidRPr="00844A25" w14:paraId="0279CD0A" w14:textId="77777777" w:rsidTr="00FA2A1A">
        <w:trPr>
          <w:cnfStyle w:val="000000100000" w:firstRow="0" w:lastRow="0" w:firstColumn="0" w:lastColumn="0" w:oddVBand="0" w:evenVBand="0" w:oddHBand="1" w:evenHBand="0" w:firstRowFirstColumn="0" w:firstRowLastColumn="0" w:lastRowFirstColumn="0" w:lastRowLastColumn="0"/>
          <w:trHeight w:val="58"/>
        </w:trPr>
        <w:tc>
          <w:tcPr>
            <w:cnfStyle w:val="000010000000" w:firstRow="0" w:lastRow="0" w:firstColumn="0" w:lastColumn="0" w:oddVBand="1" w:evenVBand="0" w:oddHBand="0" w:evenHBand="0" w:firstRowFirstColumn="0" w:firstRowLastColumn="0" w:lastRowFirstColumn="0" w:lastRowLastColumn="0"/>
            <w:tcW w:w="6732" w:type="dxa"/>
          </w:tcPr>
          <w:p w14:paraId="248E9391" w14:textId="77777777" w:rsidR="005D72AE" w:rsidRPr="0064463C" w:rsidRDefault="005D72AE" w:rsidP="00FA2A1A">
            <w:pPr>
              <w:rPr>
                <w:b/>
                <w:bCs/>
                <w:lang w:val="en-US"/>
              </w:rPr>
            </w:pPr>
            <w:r w:rsidRPr="0064463C">
              <w:rPr>
                <w:b/>
                <w:bCs/>
                <w:lang w:val="en-US"/>
              </w:rPr>
              <w:t>Carrying amount at end of year</w:t>
            </w:r>
          </w:p>
        </w:tc>
        <w:tc>
          <w:tcPr>
            <w:cnfStyle w:val="000001000000" w:firstRow="0" w:lastRow="0" w:firstColumn="0" w:lastColumn="0" w:oddVBand="0" w:evenVBand="1" w:oddHBand="0" w:evenHBand="0" w:firstRowFirstColumn="0" w:firstRowLastColumn="0" w:lastRowFirstColumn="0" w:lastRowLastColumn="0"/>
            <w:tcW w:w="1305" w:type="dxa"/>
            <w:shd w:val="clear" w:color="auto" w:fill="F2F2F2" w:themeFill="background1" w:themeFillShade="F2"/>
          </w:tcPr>
          <w:p w14:paraId="0CBFE74A" w14:textId="77777777" w:rsidR="005D72AE" w:rsidRPr="0064463C" w:rsidRDefault="005D72AE" w:rsidP="00FA2A1A">
            <w:pPr>
              <w:rPr>
                <w:b/>
                <w:bCs/>
                <w:lang w:val="en-US"/>
              </w:rPr>
            </w:pPr>
            <w:r w:rsidRPr="0064463C">
              <w:rPr>
                <w:b/>
                <w:bCs/>
                <w:lang w:val="en-US"/>
              </w:rPr>
              <w:t>1,382,745</w:t>
            </w:r>
          </w:p>
        </w:tc>
        <w:tc>
          <w:tcPr>
            <w:cnfStyle w:val="000010000000" w:firstRow="0" w:lastRow="0" w:firstColumn="0" w:lastColumn="0" w:oddVBand="1" w:evenVBand="0" w:oddHBand="0" w:evenHBand="0" w:firstRowFirstColumn="0" w:firstRowLastColumn="0" w:lastRowFirstColumn="0" w:lastRowLastColumn="0"/>
            <w:tcW w:w="1306" w:type="dxa"/>
          </w:tcPr>
          <w:p w14:paraId="3918AB8B" w14:textId="77777777" w:rsidR="005D72AE" w:rsidRPr="0064463C" w:rsidRDefault="005D72AE" w:rsidP="00FA2A1A">
            <w:pPr>
              <w:rPr>
                <w:b/>
                <w:bCs/>
                <w:lang w:val="en-US"/>
              </w:rPr>
            </w:pPr>
            <w:r w:rsidRPr="0064463C">
              <w:rPr>
                <w:b/>
                <w:bCs/>
                <w:lang w:val="en-US"/>
              </w:rPr>
              <w:t>-</w:t>
            </w:r>
          </w:p>
        </w:tc>
      </w:tr>
    </w:tbl>
    <w:p w14:paraId="15BBAE6F" w14:textId="77777777" w:rsidR="005D72AE" w:rsidRPr="00844A25" w:rsidRDefault="005D72AE" w:rsidP="005D72AE">
      <w:pPr>
        <w:pStyle w:val="Heading3"/>
      </w:pPr>
      <w:r w:rsidRPr="00844A25">
        <w:t>Initial recognition</w:t>
      </w:r>
    </w:p>
    <w:p w14:paraId="5C1F9BD6" w14:textId="77777777" w:rsidR="005D72AE" w:rsidRPr="00844A25" w:rsidRDefault="005D72AE" w:rsidP="005D72AE">
      <w:pPr>
        <w:rPr>
          <w:lang w:val="en-US"/>
        </w:rPr>
      </w:pPr>
      <w:r w:rsidRPr="00844A25">
        <w:rPr>
          <w:lang w:val="en-US"/>
        </w:rPr>
        <w:t>Intangible assets represent identifiable non-monetary assets without physical substance. Purchased intangible assets are initially recognised at cost. Subsequently, purchased intangible assets with finite useful lives are carried at cost less accumulated depreciation and impairment. Depreciation and amortisation begins when the asset is available for use, that is, when it is in the location and condition necessary for it to be capable</w:t>
      </w:r>
      <w:r>
        <w:rPr>
          <w:lang w:val="en-US"/>
        </w:rPr>
        <w:t xml:space="preserve"> </w:t>
      </w:r>
      <w:r w:rsidRPr="00844A25">
        <w:rPr>
          <w:lang w:val="en-US"/>
        </w:rPr>
        <w:t>of operating in the manner intended by management. The commission’s internally generated produced</w:t>
      </w:r>
      <w:r>
        <w:rPr>
          <w:lang w:val="en-US"/>
        </w:rPr>
        <w:t xml:space="preserve"> </w:t>
      </w:r>
      <w:r w:rsidRPr="00844A25">
        <w:rPr>
          <w:lang w:val="en-US"/>
        </w:rPr>
        <w:t>assets comprise capitalised software development.</w:t>
      </w:r>
    </w:p>
    <w:p w14:paraId="43AA4479" w14:textId="77777777" w:rsidR="005D72AE" w:rsidRPr="00844A25" w:rsidRDefault="005D72AE" w:rsidP="005D72AE">
      <w:pPr>
        <w:rPr>
          <w:lang w:val="en-US"/>
        </w:rPr>
      </w:pPr>
      <w:r w:rsidRPr="00844A25">
        <w:rPr>
          <w:lang w:val="en-US"/>
        </w:rPr>
        <w:t>The intangible assets with finite useful life are tested for impairment whenever an indication of impairment</w:t>
      </w:r>
      <w:r>
        <w:rPr>
          <w:lang w:val="en-US"/>
        </w:rPr>
        <w:t xml:space="preserve"> </w:t>
      </w:r>
      <w:r w:rsidRPr="00844A25">
        <w:rPr>
          <w:lang w:val="en-US"/>
        </w:rPr>
        <w:t>is identified. The policy in connection with testing the impairment is outlined in the section 5.1.1.</w:t>
      </w:r>
    </w:p>
    <w:p w14:paraId="7611A6BA" w14:textId="77777777" w:rsidR="005D72AE" w:rsidRDefault="005D72AE" w:rsidP="005D72AE">
      <w:pPr>
        <w:pStyle w:val="Heading2"/>
        <w:pageBreakBefore/>
      </w:pPr>
      <w:bookmarkStart w:id="16" w:name="_Toc58838601"/>
      <w:bookmarkStart w:id="17" w:name="_Toc58838736"/>
      <w:bookmarkStart w:id="18" w:name="_Toc58869008"/>
      <w:r w:rsidRPr="00844A25">
        <w:lastRenderedPageBreak/>
        <w:t>Note 6. Other assets and liabilities</w:t>
      </w:r>
      <w:bookmarkEnd w:id="16"/>
      <w:bookmarkEnd w:id="17"/>
      <w:bookmarkEnd w:id="18"/>
    </w:p>
    <w:p w14:paraId="1E36266F" w14:textId="77777777" w:rsidR="005D72AE" w:rsidRPr="00844A25" w:rsidRDefault="005D72AE" w:rsidP="005D72AE">
      <w:pPr>
        <w:rPr>
          <w:lang w:val="en-US"/>
        </w:rPr>
      </w:pPr>
      <w:r w:rsidRPr="00844A25">
        <w:rPr>
          <w:lang w:val="en-US"/>
        </w:rPr>
        <w:t>This section sets out those assets and liabilities that arose from the commission’s controlled operations.</w:t>
      </w:r>
    </w:p>
    <w:p w14:paraId="1E6D235A" w14:textId="77777777" w:rsidR="005D72AE" w:rsidRPr="00844A25" w:rsidRDefault="005D72AE" w:rsidP="005D72AE">
      <w:pPr>
        <w:rPr>
          <w:lang w:val="en-US"/>
        </w:rPr>
      </w:pPr>
      <w:r w:rsidRPr="00844A25">
        <w:rPr>
          <w:lang w:val="en-US"/>
        </w:rPr>
        <w:t xml:space="preserve">6.1. Receivables </w:t>
      </w:r>
    </w:p>
    <w:p w14:paraId="5BF201EB" w14:textId="77777777" w:rsidR="005D72AE" w:rsidRPr="00844A25" w:rsidRDefault="005D72AE" w:rsidP="005D72AE">
      <w:pPr>
        <w:rPr>
          <w:lang w:val="en-US"/>
        </w:rPr>
      </w:pPr>
      <w:r w:rsidRPr="00844A25">
        <w:rPr>
          <w:lang w:val="en-US"/>
        </w:rPr>
        <w:t>6.2. Payables</w:t>
      </w:r>
    </w:p>
    <w:p w14:paraId="6E40867C" w14:textId="77777777" w:rsidR="005D72AE" w:rsidRPr="00844A25" w:rsidRDefault="005D72AE" w:rsidP="005D72AE">
      <w:pPr>
        <w:rPr>
          <w:lang w:val="en-US"/>
        </w:rPr>
      </w:pPr>
      <w:r w:rsidRPr="00844A25">
        <w:rPr>
          <w:lang w:val="en-US"/>
        </w:rPr>
        <w:t>6.3. Make Good provision</w:t>
      </w:r>
    </w:p>
    <w:p w14:paraId="3C743563" w14:textId="77777777" w:rsidR="005D72AE" w:rsidRPr="00343F15" w:rsidRDefault="005D72AE" w:rsidP="005D72AE">
      <w:pPr>
        <w:rPr>
          <w:lang w:val="en-US"/>
        </w:rPr>
      </w:pPr>
      <w:r w:rsidRPr="00844A25">
        <w:rPr>
          <w:lang w:val="en-US"/>
        </w:rPr>
        <w:t>6.4. Unearned income</w:t>
      </w:r>
    </w:p>
    <w:p w14:paraId="5130F7FF" w14:textId="77777777" w:rsidR="005D72AE" w:rsidRPr="00844A25" w:rsidRDefault="005D72AE" w:rsidP="005D72AE">
      <w:pPr>
        <w:pStyle w:val="Heading3"/>
      </w:pPr>
      <w:r w:rsidRPr="00844A25">
        <w:t xml:space="preserve">6.1. Receivables </w:t>
      </w:r>
    </w:p>
    <w:tbl>
      <w:tblPr>
        <w:tblStyle w:val="PlainTable2"/>
        <w:tblW w:w="9369" w:type="dxa"/>
        <w:tblInd w:w="-5" w:type="dxa"/>
        <w:tblLayout w:type="fixed"/>
        <w:tblLook w:val="0000" w:firstRow="0" w:lastRow="0" w:firstColumn="0" w:lastColumn="0" w:noHBand="0" w:noVBand="0"/>
      </w:tblPr>
      <w:tblGrid>
        <w:gridCol w:w="6497"/>
        <w:gridCol w:w="1436"/>
        <w:gridCol w:w="1436"/>
      </w:tblGrid>
      <w:tr w:rsidR="005D72AE" w:rsidRPr="00844A25" w14:paraId="673C8C4D" w14:textId="77777777" w:rsidTr="00FA2A1A">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6497" w:type="dxa"/>
          </w:tcPr>
          <w:p w14:paraId="5EA6D417" w14:textId="77777777" w:rsidR="005D72AE" w:rsidRPr="00362DC2"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436" w:type="dxa"/>
            <w:shd w:val="clear" w:color="auto" w:fill="F2F2F2" w:themeFill="background1" w:themeFillShade="F2"/>
          </w:tcPr>
          <w:p w14:paraId="41236A1F" w14:textId="77777777" w:rsidR="005D72AE" w:rsidRPr="00362DC2" w:rsidRDefault="005D72AE" w:rsidP="00FA2A1A">
            <w:pPr>
              <w:rPr>
                <w:b/>
                <w:bCs/>
                <w:lang w:val="en-US"/>
              </w:rPr>
            </w:pPr>
            <w:r w:rsidRPr="00362DC2">
              <w:rPr>
                <w:b/>
                <w:bCs/>
                <w:lang w:val="en-US"/>
              </w:rPr>
              <w:t>2020</w:t>
            </w:r>
          </w:p>
        </w:tc>
        <w:tc>
          <w:tcPr>
            <w:cnfStyle w:val="000010000000" w:firstRow="0" w:lastRow="0" w:firstColumn="0" w:lastColumn="0" w:oddVBand="1" w:evenVBand="0" w:oddHBand="0" w:evenHBand="0" w:firstRowFirstColumn="0" w:firstRowLastColumn="0" w:lastRowFirstColumn="0" w:lastRowLastColumn="0"/>
            <w:tcW w:w="1436" w:type="dxa"/>
          </w:tcPr>
          <w:p w14:paraId="06AAF318" w14:textId="77777777" w:rsidR="005D72AE" w:rsidRPr="00362DC2" w:rsidRDefault="005D72AE" w:rsidP="00FA2A1A">
            <w:pPr>
              <w:rPr>
                <w:b/>
                <w:bCs/>
                <w:lang w:val="en-US"/>
              </w:rPr>
            </w:pPr>
            <w:r w:rsidRPr="00362DC2">
              <w:rPr>
                <w:b/>
                <w:bCs/>
                <w:lang w:val="en-US"/>
              </w:rPr>
              <w:t>2019</w:t>
            </w:r>
          </w:p>
        </w:tc>
      </w:tr>
      <w:tr w:rsidR="005D72AE" w:rsidRPr="00844A25" w14:paraId="15743293" w14:textId="77777777" w:rsidTr="00FA2A1A">
        <w:trPr>
          <w:trHeight w:val="353"/>
        </w:trPr>
        <w:tc>
          <w:tcPr>
            <w:cnfStyle w:val="000010000000" w:firstRow="0" w:lastRow="0" w:firstColumn="0" w:lastColumn="0" w:oddVBand="1" w:evenVBand="0" w:oddHBand="0" w:evenHBand="0" w:firstRowFirstColumn="0" w:firstRowLastColumn="0" w:lastRowFirstColumn="0" w:lastRowLastColumn="0"/>
            <w:tcW w:w="6497" w:type="dxa"/>
          </w:tcPr>
          <w:p w14:paraId="18DF42BD" w14:textId="77777777" w:rsidR="005D72AE" w:rsidRPr="00844A25"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1436" w:type="dxa"/>
            <w:shd w:val="clear" w:color="auto" w:fill="F2F2F2" w:themeFill="background1" w:themeFillShade="F2"/>
          </w:tcPr>
          <w:p w14:paraId="480FFB31"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436" w:type="dxa"/>
          </w:tcPr>
          <w:p w14:paraId="282458ED" w14:textId="77777777" w:rsidR="005D72AE" w:rsidRPr="00844A25" w:rsidRDefault="005D72AE" w:rsidP="00FA2A1A">
            <w:pPr>
              <w:rPr>
                <w:lang w:val="en-US"/>
              </w:rPr>
            </w:pPr>
            <w:r w:rsidRPr="00844A25">
              <w:rPr>
                <w:lang w:val="en-US"/>
              </w:rPr>
              <w:t>$</w:t>
            </w:r>
          </w:p>
        </w:tc>
      </w:tr>
      <w:tr w:rsidR="005D72AE" w:rsidRPr="00844A25" w14:paraId="7054F177" w14:textId="77777777" w:rsidTr="00FA2A1A">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6497" w:type="dxa"/>
          </w:tcPr>
          <w:p w14:paraId="25C4E6E7" w14:textId="77777777" w:rsidR="005D72AE" w:rsidRPr="00362DC2" w:rsidRDefault="005D72AE" w:rsidP="00FA2A1A">
            <w:pPr>
              <w:rPr>
                <w:b/>
                <w:bCs/>
                <w:lang w:val="en-US"/>
              </w:rPr>
            </w:pPr>
            <w:r w:rsidRPr="00362DC2">
              <w:rPr>
                <w:b/>
                <w:bCs/>
                <w:lang w:val="en-US"/>
              </w:rPr>
              <w:t>Current:</w:t>
            </w:r>
          </w:p>
        </w:tc>
        <w:tc>
          <w:tcPr>
            <w:cnfStyle w:val="000001000000" w:firstRow="0" w:lastRow="0" w:firstColumn="0" w:lastColumn="0" w:oddVBand="0" w:evenVBand="1" w:oddHBand="0" w:evenHBand="0" w:firstRowFirstColumn="0" w:firstRowLastColumn="0" w:lastRowFirstColumn="0" w:lastRowLastColumn="0"/>
            <w:tcW w:w="1436" w:type="dxa"/>
            <w:shd w:val="clear" w:color="auto" w:fill="F2F2F2" w:themeFill="background1" w:themeFillShade="F2"/>
          </w:tcPr>
          <w:p w14:paraId="0DDAF9EC" w14:textId="77777777" w:rsidR="005D72AE" w:rsidRPr="00362DC2"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1436" w:type="dxa"/>
          </w:tcPr>
          <w:p w14:paraId="24B28995" w14:textId="77777777" w:rsidR="005D72AE" w:rsidRPr="00362DC2" w:rsidRDefault="005D72AE" w:rsidP="00FA2A1A">
            <w:pPr>
              <w:rPr>
                <w:b/>
                <w:bCs/>
                <w:lang w:val="en-GB"/>
              </w:rPr>
            </w:pPr>
          </w:p>
        </w:tc>
      </w:tr>
      <w:tr w:rsidR="005D72AE" w:rsidRPr="00844A25" w14:paraId="766C7391" w14:textId="77777777" w:rsidTr="00FA2A1A">
        <w:trPr>
          <w:trHeight w:val="353"/>
        </w:trPr>
        <w:tc>
          <w:tcPr>
            <w:cnfStyle w:val="000010000000" w:firstRow="0" w:lastRow="0" w:firstColumn="0" w:lastColumn="0" w:oddVBand="1" w:evenVBand="0" w:oddHBand="0" w:evenHBand="0" w:firstRowFirstColumn="0" w:firstRowLastColumn="0" w:lastRowFirstColumn="0" w:lastRowLastColumn="0"/>
            <w:tcW w:w="6497" w:type="dxa"/>
          </w:tcPr>
          <w:p w14:paraId="05C0685B" w14:textId="77777777" w:rsidR="005D72AE" w:rsidRPr="00362DC2" w:rsidRDefault="005D72AE" w:rsidP="00FA2A1A">
            <w:pPr>
              <w:rPr>
                <w:b/>
                <w:bCs/>
                <w:lang w:val="en-US"/>
              </w:rPr>
            </w:pPr>
            <w:r w:rsidRPr="00362DC2">
              <w:rPr>
                <w:b/>
                <w:bCs/>
                <w:lang w:val="en-US"/>
              </w:rPr>
              <w:t>Contractual</w:t>
            </w:r>
          </w:p>
        </w:tc>
        <w:tc>
          <w:tcPr>
            <w:cnfStyle w:val="000001000000" w:firstRow="0" w:lastRow="0" w:firstColumn="0" w:lastColumn="0" w:oddVBand="0" w:evenVBand="1" w:oddHBand="0" w:evenHBand="0" w:firstRowFirstColumn="0" w:firstRowLastColumn="0" w:lastRowFirstColumn="0" w:lastRowLastColumn="0"/>
            <w:tcW w:w="1436" w:type="dxa"/>
            <w:shd w:val="clear" w:color="auto" w:fill="F2F2F2" w:themeFill="background1" w:themeFillShade="F2"/>
          </w:tcPr>
          <w:p w14:paraId="417023EE" w14:textId="77777777" w:rsidR="005D72AE" w:rsidRPr="00362DC2"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1436" w:type="dxa"/>
          </w:tcPr>
          <w:p w14:paraId="061F3622" w14:textId="77777777" w:rsidR="005D72AE" w:rsidRPr="00362DC2" w:rsidRDefault="005D72AE" w:rsidP="00FA2A1A">
            <w:pPr>
              <w:rPr>
                <w:b/>
                <w:bCs/>
                <w:lang w:val="en-GB"/>
              </w:rPr>
            </w:pPr>
          </w:p>
        </w:tc>
      </w:tr>
      <w:tr w:rsidR="005D72AE" w:rsidRPr="00844A25" w14:paraId="4F985EE5" w14:textId="77777777" w:rsidTr="00FA2A1A">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6497" w:type="dxa"/>
          </w:tcPr>
          <w:p w14:paraId="399A6AE0" w14:textId="77777777" w:rsidR="005D72AE" w:rsidRPr="00844A25" w:rsidRDefault="005D72AE" w:rsidP="00FA2A1A">
            <w:pPr>
              <w:rPr>
                <w:lang w:val="en-US"/>
              </w:rPr>
            </w:pPr>
            <w:r w:rsidRPr="00844A25">
              <w:rPr>
                <w:lang w:val="en-US"/>
              </w:rPr>
              <w:t>Debtors</w:t>
            </w:r>
          </w:p>
        </w:tc>
        <w:tc>
          <w:tcPr>
            <w:cnfStyle w:val="000001000000" w:firstRow="0" w:lastRow="0" w:firstColumn="0" w:lastColumn="0" w:oddVBand="0" w:evenVBand="1" w:oddHBand="0" w:evenHBand="0" w:firstRowFirstColumn="0" w:firstRowLastColumn="0" w:lastRowFirstColumn="0" w:lastRowLastColumn="0"/>
            <w:tcW w:w="1436" w:type="dxa"/>
            <w:shd w:val="clear" w:color="auto" w:fill="F2F2F2" w:themeFill="background1" w:themeFillShade="F2"/>
          </w:tcPr>
          <w:p w14:paraId="7402EE1C" w14:textId="77777777" w:rsidR="005D72AE" w:rsidRPr="00844A25" w:rsidRDefault="005D72AE" w:rsidP="00FA2A1A">
            <w:pPr>
              <w:rPr>
                <w:lang w:val="en-US"/>
              </w:rPr>
            </w:pPr>
            <w:r w:rsidRPr="00844A25">
              <w:rPr>
                <w:lang w:val="en-US"/>
              </w:rPr>
              <w:t>2,710</w:t>
            </w:r>
          </w:p>
        </w:tc>
        <w:tc>
          <w:tcPr>
            <w:cnfStyle w:val="000010000000" w:firstRow="0" w:lastRow="0" w:firstColumn="0" w:lastColumn="0" w:oddVBand="1" w:evenVBand="0" w:oddHBand="0" w:evenHBand="0" w:firstRowFirstColumn="0" w:firstRowLastColumn="0" w:lastRowFirstColumn="0" w:lastRowLastColumn="0"/>
            <w:tcW w:w="1436" w:type="dxa"/>
          </w:tcPr>
          <w:p w14:paraId="2F75A71A" w14:textId="77777777" w:rsidR="005D72AE" w:rsidRPr="00844A25" w:rsidRDefault="005D72AE" w:rsidP="00FA2A1A">
            <w:pPr>
              <w:rPr>
                <w:lang w:val="en-US"/>
              </w:rPr>
            </w:pPr>
            <w:r w:rsidRPr="00844A25">
              <w:rPr>
                <w:lang w:val="en-US"/>
              </w:rPr>
              <w:t>3,740</w:t>
            </w:r>
          </w:p>
        </w:tc>
      </w:tr>
      <w:tr w:rsidR="005D72AE" w:rsidRPr="00844A25" w14:paraId="44A69335" w14:textId="77777777" w:rsidTr="00FA2A1A">
        <w:trPr>
          <w:trHeight w:val="371"/>
        </w:trPr>
        <w:tc>
          <w:tcPr>
            <w:cnfStyle w:val="000010000000" w:firstRow="0" w:lastRow="0" w:firstColumn="0" w:lastColumn="0" w:oddVBand="1" w:evenVBand="0" w:oddHBand="0" w:evenHBand="0" w:firstRowFirstColumn="0" w:firstRowLastColumn="0" w:lastRowFirstColumn="0" w:lastRowLastColumn="0"/>
            <w:tcW w:w="6497" w:type="dxa"/>
          </w:tcPr>
          <w:p w14:paraId="237D57DA" w14:textId="77777777" w:rsidR="005D72AE" w:rsidRPr="00844A25"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1436" w:type="dxa"/>
            <w:shd w:val="clear" w:color="auto" w:fill="F2F2F2" w:themeFill="background1" w:themeFillShade="F2"/>
          </w:tcPr>
          <w:p w14:paraId="1AA005D0" w14:textId="77777777" w:rsidR="005D72AE" w:rsidRPr="00844A25" w:rsidRDefault="005D72AE" w:rsidP="00FA2A1A">
            <w:pPr>
              <w:rPr>
                <w:lang w:val="en-US"/>
              </w:rPr>
            </w:pPr>
            <w:r w:rsidRPr="00844A25">
              <w:rPr>
                <w:lang w:val="en-US"/>
              </w:rPr>
              <w:t>2,710</w:t>
            </w:r>
          </w:p>
        </w:tc>
        <w:tc>
          <w:tcPr>
            <w:cnfStyle w:val="000010000000" w:firstRow="0" w:lastRow="0" w:firstColumn="0" w:lastColumn="0" w:oddVBand="1" w:evenVBand="0" w:oddHBand="0" w:evenHBand="0" w:firstRowFirstColumn="0" w:firstRowLastColumn="0" w:lastRowFirstColumn="0" w:lastRowLastColumn="0"/>
            <w:tcW w:w="1436" w:type="dxa"/>
          </w:tcPr>
          <w:p w14:paraId="080BB836" w14:textId="77777777" w:rsidR="005D72AE" w:rsidRPr="00844A25" w:rsidRDefault="005D72AE" w:rsidP="00FA2A1A">
            <w:pPr>
              <w:rPr>
                <w:lang w:val="en-US"/>
              </w:rPr>
            </w:pPr>
            <w:r w:rsidRPr="00844A25">
              <w:rPr>
                <w:lang w:val="en-US"/>
              </w:rPr>
              <w:t>3,740</w:t>
            </w:r>
          </w:p>
        </w:tc>
      </w:tr>
      <w:tr w:rsidR="005D72AE" w:rsidRPr="00844A25" w14:paraId="69CBC310" w14:textId="77777777" w:rsidTr="00FA2A1A">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6497" w:type="dxa"/>
          </w:tcPr>
          <w:p w14:paraId="456A3CCF" w14:textId="77777777" w:rsidR="005D72AE" w:rsidRPr="00844A25"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1436" w:type="dxa"/>
            <w:shd w:val="clear" w:color="auto" w:fill="F2F2F2" w:themeFill="background1" w:themeFillShade="F2"/>
          </w:tcPr>
          <w:p w14:paraId="17ABA1E6"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436" w:type="dxa"/>
          </w:tcPr>
          <w:p w14:paraId="2E6EC015" w14:textId="77777777" w:rsidR="005D72AE" w:rsidRPr="00844A25" w:rsidRDefault="005D72AE" w:rsidP="00FA2A1A">
            <w:pPr>
              <w:rPr>
                <w:lang w:val="en-GB"/>
              </w:rPr>
            </w:pPr>
          </w:p>
        </w:tc>
      </w:tr>
      <w:tr w:rsidR="005D72AE" w:rsidRPr="00844A25" w14:paraId="22DD4961" w14:textId="77777777" w:rsidTr="00FA2A1A">
        <w:trPr>
          <w:trHeight w:val="353"/>
        </w:trPr>
        <w:tc>
          <w:tcPr>
            <w:cnfStyle w:val="000010000000" w:firstRow="0" w:lastRow="0" w:firstColumn="0" w:lastColumn="0" w:oddVBand="1" w:evenVBand="0" w:oddHBand="0" w:evenHBand="0" w:firstRowFirstColumn="0" w:firstRowLastColumn="0" w:lastRowFirstColumn="0" w:lastRowLastColumn="0"/>
            <w:tcW w:w="6497" w:type="dxa"/>
          </w:tcPr>
          <w:p w14:paraId="49072A0F" w14:textId="77777777" w:rsidR="005D72AE" w:rsidRPr="00362DC2" w:rsidRDefault="005D72AE" w:rsidP="00FA2A1A">
            <w:pPr>
              <w:rPr>
                <w:b/>
                <w:bCs/>
                <w:lang w:val="en-US"/>
              </w:rPr>
            </w:pPr>
            <w:r w:rsidRPr="00362DC2">
              <w:rPr>
                <w:b/>
                <w:bCs/>
                <w:lang w:val="en-US"/>
              </w:rPr>
              <w:t>Statutory</w:t>
            </w:r>
          </w:p>
        </w:tc>
        <w:tc>
          <w:tcPr>
            <w:cnfStyle w:val="000001000000" w:firstRow="0" w:lastRow="0" w:firstColumn="0" w:lastColumn="0" w:oddVBand="0" w:evenVBand="1" w:oddHBand="0" w:evenHBand="0" w:firstRowFirstColumn="0" w:firstRowLastColumn="0" w:lastRowFirstColumn="0" w:lastRowLastColumn="0"/>
            <w:tcW w:w="1436" w:type="dxa"/>
            <w:shd w:val="clear" w:color="auto" w:fill="F2F2F2" w:themeFill="background1" w:themeFillShade="F2"/>
          </w:tcPr>
          <w:p w14:paraId="32E554D8" w14:textId="77777777" w:rsidR="005D72AE" w:rsidRPr="00362DC2"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1436" w:type="dxa"/>
          </w:tcPr>
          <w:p w14:paraId="22F4C2AE" w14:textId="77777777" w:rsidR="005D72AE" w:rsidRPr="00362DC2" w:rsidRDefault="005D72AE" w:rsidP="00FA2A1A">
            <w:pPr>
              <w:rPr>
                <w:b/>
                <w:bCs/>
                <w:lang w:val="en-GB"/>
              </w:rPr>
            </w:pPr>
          </w:p>
        </w:tc>
      </w:tr>
      <w:tr w:rsidR="005D72AE" w:rsidRPr="00844A25" w14:paraId="0ADE8531" w14:textId="77777777" w:rsidTr="00FA2A1A">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6497" w:type="dxa"/>
          </w:tcPr>
          <w:p w14:paraId="1E54E29C" w14:textId="77777777" w:rsidR="005D72AE" w:rsidRPr="00844A25" w:rsidRDefault="005D72AE" w:rsidP="00FA2A1A">
            <w:pPr>
              <w:rPr>
                <w:lang w:val="en-US"/>
              </w:rPr>
            </w:pPr>
            <w:r w:rsidRPr="00844A25">
              <w:rPr>
                <w:lang w:val="en-US"/>
              </w:rPr>
              <w:t>Amounts receivable from government departments</w:t>
            </w:r>
          </w:p>
        </w:tc>
        <w:tc>
          <w:tcPr>
            <w:cnfStyle w:val="000001000000" w:firstRow="0" w:lastRow="0" w:firstColumn="0" w:lastColumn="0" w:oddVBand="0" w:evenVBand="1" w:oddHBand="0" w:evenHBand="0" w:firstRowFirstColumn="0" w:firstRowLastColumn="0" w:lastRowFirstColumn="0" w:lastRowLastColumn="0"/>
            <w:tcW w:w="1436" w:type="dxa"/>
            <w:shd w:val="clear" w:color="auto" w:fill="F2F2F2" w:themeFill="background1" w:themeFillShade="F2"/>
          </w:tcPr>
          <w:p w14:paraId="39864261" w14:textId="77777777" w:rsidR="005D72AE" w:rsidRPr="00844A25" w:rsidRDefault="005D72AE" w:rsidP="00FA2A1A">
            <w:pPr>
              <w:rPr>
                <w:lang w:val="en-US"/>
              </w:rPr>
            </w:pPr>
            <w:r w:rsidRPr="00844A25">
              <w:rPr>
                <w:lang w:val="en-US"/>
              </w:rPr>
              <w:t>20,142,077</w:t>
            </w:r>
          </w:p>
        </w:tc>
        <w:tc>
          <w:tcPr>
            <w:cnfStyle w:val="000010000000" w:firstRow="0" w:lastRow="0" w:firstColumn="0" w:lastColumn="0" w:oddVBand="1" w:evenVBand="0" w:oddHBand="0" w:evenHBand="0" w:firstRowFirstColumn="0" w:firstRowLastColumn="0" w:lastRowFirstColumn="0" w:lastRowLastColumn="0"/>
            <w:tcW w:w="1436" w:type="dxa"/>
          </w:tcPr>
          <w:p w14:paraId="6EAD568E" w14:textId="77777777" w:rsidR="005D72AE" w:rsidRPr="00844A25" w:rsidRDefault="005D72AE" w:rsidP="00FA2A1A">
            <w:pPr>
              <w:rPr>
                <w:lang w:val="en-US"/>
              </w:rPr>
            </w:pPr>
            <w:r w:rsidRPr="00844A25">
              <w:rPr>
                <w:lang w:val="en-US"/>
              </w:rPr>
              <w:t>18,020,655</w:t>
            </w:r>
          </w:p>
        </w:tc>
      </w:tr>
      <w:tr w:rsidR="005D72AE" w:rsidRPr="00844A25" w14:paraId="645963F0" w14:textId="77777777" w:rsidTr="00FA2A1A">
        <w:trPr>
          <w:trHeight w:val="353"/>
        </w:trPr>
        <w:tc>
          <w:tcPr>
            <w:cnfStyle w:val="000010000000" w:firstRow="0" w:lastRow="0" w:firstColumn="0" w:lastColumn="0" w:oddVBand="1" w:evenVBand="0" w:oddHBand="0" w:evenHBand="0" w:firstRowFirstColumn="0" w:firstRowLastColumn="0" w:lastRowFirstColumn="0" w:lastRowLastColumn="0"/>
            <w:tcW w:w="6497" w:type="dxa"/>
          </w:tcPr>
          <w:p w14:paraId="15A8692B" w14:textId="77777777" w:rsidR="005D72AE" w:rsidRPr="00844A25" w:rsidRDefault="005D72AE" w:rsidP="00FA2A1A">
            <w:pPr>
              <w:rPr>
                <w:lang w:val="en-US"/>
              </w:rPr>
            </w:pPr>
            <w:r w:rsidRPr="00844A25">
              <w:rPr>
                <w:lang w:val="en-US"/>
              </w:rPr>
              <w:t>GST recoverable</w:t>
            </w:r>
          </w:p>
        </w:tc>
        <w:tc>
          <w:tcPr>
            <w:cnfStyle w:val="000001000000" w:firstRow="0" w:lastRow="0" w:firstColumn="0" w:lastColumn="0" w:oddVBand="0" w:evenVBand="1" w:oddHBand="0" w:evenHBand="0" w:firstRowFirstColumn="0" w:firstRowLastColumn="0" w:lastRowFirstColumn="0" w:lastRowLastColumn="0"/>
            <w:tcW w:w="1436" w:type="dxa"/>
            <w:shd w:val="clear" w:color="auto" w:fill="F2F2F2" w:themeFill="background1" w:themeFillShade="F2"/>
          </w:tcPr>
          <w:p w14:paraId="78D74B38" w14:textId="77777777" w:rsidR="005D72AE" w:rsidRPr="00844A25" w:rsidRDefault="005D72AE" w:rsidP="00FA2A1A">
            <w:pPr>
              <w:rPr>
                <w:lang w:val="en-US"/>
              </w:rPr>
            </w:pPr>
            <w:r w:rsidRPr="00844A25">
              <w:rPr>
                <w:lang w:val="en-US"/>
              </w:rPr>
              <w:t>340,639</w:t>
            </w:r>
          </w:p>
        </w:tc>
        <w:tc>
          <w:tcPr>
            <w:cnfStyle w:val="000010000000" w:firstRow="0" w:lastRow="0" w:firstColumn="0" w:lastColumn="0" w:oddVBand="1" w:evenVBand="0" w:oddHBand="0" w:evenHBand="0" w:firstRowFirstColumn="0" w:firstRowLastColumn="0" w:lastRowFirstColumn="0" w:lastRowLastColumn="0"/>
            <w:tcW w:w="1436" w:type="dxa"/>
          </w:tcPr>
          <w:p w14:paraId="766D90D0" w14:textId="77777777" w:rsidR="005D72AE" w:rsidRPr="00844A25" w:rsidRDefault="005D72AE" w:rsidP="00FA2A1A">
            <w:pPr>
              <w:rPr>
                <w:lang w:val="en-US"/>
              </w:rPr>
            </w:pPr>
            <w:r w:rsidRPr="00844A25">
              <w:rPr>
                <w:lang w:val="en-US"/>
              </w:rPr>
              <w:t>129,478</w:t>
            </w:r>
          </w:p>
        </w:tc>
      </w:tr>
      <w:tr w:rsidR="005D72AE" w:rsidRPr="00844A25" w14:paraId="102EFE94" w14:textId="77777777" w:rsidTr="00FA2A1A">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6497" w:type="dxa"/>
          </w:tcPr>
          <w:p w14:paraId="545BC913" w14:textId="77777777" w:rsidR="005D72AE" w:rsidRPr="00844A25"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1436" w:type="dxa"/>
            <w:shd w:val="clear" w:color="auto" w:fill="F2F2F2" w:themeFill="background1" w:themeFillShade="F2"/>
          </w:tcPr>
          <w:p w14:paraId="603DC467" w14:textId="77777777" w:rsidR="005D72AE" w:rsidRPr="00844A25" w:rsidRDefault="005D72AE" w:rsidP="00FA2A1A">
            <w:pPr>
              <w:rPr>
                <w:lang w:val="en-US"/>
              </w:rPr>
            </w:pPr>
            <w:r w:rsidRPr="00844A25">
              <w:rPr>
                <w:lang w:val="en-US"/>
              </w:rPr>
              <w:t>20,482,716</w:t>
            </w:r>
          </w:p>
        </w:tc>
        <w:tc>
          <w:tcPr>
            <w:cnfStyle w:val="000010000000" w:firstRow="0" w:lastRow="0" w:firstColumn="0" w:lastColumn="0" w:oddVBand="1" w:evenVBand="0" w:oddHBand="0" w:evenHBand="0" w:firstRowFirstColumn="0" w:firstRowLastColumn="0" w:lastRowFirstColumn="0" w:lastRowLastColumn="0"/>
            <w:tcW w:w="1436" w:type="dxa"/>
          </w:tcPr>
          <w:p w14:paraId="3CA48FD7" w14:textId="77777777" w:rsidR="005D72AE" w:rsidRPr="00844A25" w:rsidRDefault="005D72AE" w:rsidP="00FA2A1A">
            <w:pPr>
              <w:rPr>
                <w:lang w:val="en-US"/>
              </w:rPr>
            </w:pPr>
            <w:r w:rsidRPr="00844A25">
              <w:rPr>
                <w:lang w:val="en-US"/>
              </w:rPr>
              <w:t>18,150,133</w:t>
            </w:r>
          </w:p>
        </w:tc>
      </w:tr>
      <w:tr w:rsidR="005D72AE" w:rsidRPr="00844A25" w14:paraId="558D33E7" w14:textId="77777777" w:rsidTr="00FA2A1A">
        <w:trPr>
          <w:trHeight w:val="353"/>
        </w:trPr>
        <w:tc>
          <w:tcPr>
            <w:cnfStyle w:val="000010000000" w:firstRow="0" w:lastRow="0" w:firstColumn="0" w:lastColumn="0" w:oddVBand="1" w:evenVBand="0" w:oddHBand="0" w:evenHBand="0" w:firstRowFirstColumn="0" w:firstRowLastColumn="0" w:lastRowFirstColumn="0" w:lastRowLastColumn="0"/>
            <w:tcW w:w="6497" w:type="dxa"/>
          </w:tcPr>
          <w:p w14:paraId="75E93493" w14:textId="77777777" w:rsidR="005D72AE" w:rsidRPr="00362DC2" w:rsidRDefault="005D72AE" w:rsidP="00FA2A1A">
            <w:pPr>
              <w:rPr>
                <w:b/>
                <w:bCs/>
                <w:lang w:val="en-US"/>
              </w:rPr>
            </w:pPr>
            <w:r w:rsidRPr="00362DC2">
              <w:rPr>
                <w:b/>
                <w:bCs/>
                <w:lang w:val="en-US"/>
              </w:rPr>
              <w:t>Total current receivables</w:t>
            </w:r>
          </w:p>
        </w:tc>
        <w:tc>
          <w:tcPr>
            <w:cnfStyle w:val="000001000000" w:firstRow="0" w:lastRow="0" w:firstColumn="0" w:lastColumn="0" w:oddVBand="0" w:evenVBand="1" w:oddHBand="0" w:evenHBand="0" w:firstRowFirstColumn="0" w:firstRowLastColumn="0" w:lastRowFirstColumn="0" w:lastRowLastColumn="0"/>
            <w:tcW w:w="1436" w:type="dxa"/>
            <w:shd w:val="clear" w:color="auto" w:fill="F2F2F2" w:themeFill="background1" w:themeFillShade="F2"/>
          </w:tcPr>
          <w:p w14:paraId="0E92F02E" w14:textId="77777777" w:rsidR="005D72AE" w:rsidRPr="00362DC2" w:rsidRDefault="005D72AE" w:rsidP="00FA2A1A">
            <w:pPr>
              <w:rPr>
                <w:b/>
                <w:bCs/>
                <w:lang w:val="en-US"/>
              </w:rPr>
            </w:pPr>
            <w:r w:rsidRPr="00362DC2">
              <w:rPr>
                <w:b/>
                <w:bCs/>
                <w:lang w:val="en-US"/>
              </w:rPr>
              <w:t>20,485,426</w:t>
            </w:r>
          </w:p>
        </w:tc>
        <w:tc>
          <w:tcPr>
            <w:cnfStyle w:val="000010000000" w:firstRow="0" w:lastRow="0" w:firstColumn="0" w:lastColumn="0" w:oddVBand="1" w:evenVBand="0" w:oddHBand="0" w:evenHBand="0" w:firstRowFirstColumn="0" w:firstRowLastColumn="0" w:lastRowFirstColumn="0" w:lastRowLastColumn="0"/>
            <w:tcW w:w="1436" w:type="dxa"/>
          </w:tcPr>
          <w:p w14:paraId="3614C318" w14:textId="77777777" w:rsidR="005D72AE" w:rsidRPr="00362DC2" w:rsidRDefault="005D72AE" w:rsidP="00FA2A1A">
            <w:pPr>
              <w:rPr>
                <w:b/>
                <w:bCs/>
                <w:lang w:val="en-US"/>
              </w:rPr>
            </w:pPr>
            <w:r w:rsidRPr="00362DC2">
              <w:rPr>
                <w:b/>
                <w:bCs/>
                <w:lang w:val="en-US"/>
              </w:rPr>
              <w:t>18,153,873</w:t>
            </w:r>
          </w:p>
        </w:tc>
      </w:tr>
      <w:tr w:rsidR="005D72AE" w:rsidRPr="00844A25" w14:paraId="3712C3CE" w14:textId="77777777" w:rsidTr="00FA2A1A">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6497" w:type="dxa"/>
          </w:tcPr>
          <w:p w14:paraId="250D0A00" w14:textId="77777777" w:rsidR="005D72AE" w:rsidRPr="00844A25"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1436" w:type="dxa"/>
            <w:shd w:val="clear" w:color="auto" w:fill="F2F2F2" w:themeFill="background1" w:themeFillShade="F2"/>
          </w:tcPr>
          <w:p w14:paraId="004556C1"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436" w:type="dxa"/>
          </w:tcPr>
          <w:p w14:paraId="7F1DD8CA" w14:textId="77777777" w:rsidR="005D72AE" w:rsidRPr="00844A25" w:rsidRDefault="005D72AE" w:rsidP="00FA2A1A">
            <w:pPr>
              <w:rPr>
                <w:lang w:val="en-GB"/>
              </w:rPr>
            </w:pPr>
          </w:p>
        </w:tc>
      </w:tr>
      <w:tr w:rsidR="005D72AE" w:rsidRPr="00844A25" w14:paraId="4E0A6AB7" w14:textId="77777777" w:rsidTr="00FA2A1A">
        <w:trPr>
          <w:trHeight w:val="353"/>
        </w:trPr>
        <w:tc>
          <w:tcPr>
            <w:cnfStyle w:val="000010000000" w:firstRow="0" w:lastRow="0" w:firstColumn="0" w:lastColumn="0" w:oddVBand="1" w:evenVBand="0" w:oddHBand="0" w:evenHBand="0" w:firstRowFirstColumn="0" w:firstRowLastColumn="0" w:lastRowFirstColumn="0" w:lastRowLastColumn="0"/>
            <w:tcW w:w="6497" w:type="dxa"/>
          </w:tcPr>
          <w:p w14:paraId="65EE98D0" w14:textId="77777777" w:rsidR="005D72AE" w:rsidRPr="00D777F3" w:rsidRDefault="005D72AE" w:rsidP="00FA2A1A">
            <w:pPr>
              <w:rPr>
                <w:b/>
                <w:bCs/>
                <w:lang w:val="en-US"/>
              </w:rPr>
            </w:pPr>
            <w:r w:rsidRPr="00D777F3">
              <w:rPr>
                <w:b/>
                <w:bCs/>
                <w:lang w:val="en-US"/>
              </w:rPr>
              <w:t>Non-current:</w:t>
            </w:r>
          </w:p>
        </w:tc>
        <w:tc>
          <w:tcPr>
            <w:cnfStyle w:val="000001000000" w:firstRow="0" w:lastRow="0" w:firstColumn="0" w:lastColumn="0" w:oddVBand="0" w:evenVBand="1" w:oddHBand="0" w:evenHBand="0" w:firstRowFirstColumn="0" w:firstRowLastColumn="0" w:lastRowFirstColumn="0" w:lastRowLastColumn="0"/>
            <w:tcW w:w="1436" w:type="dxa"/>
            <w:shd w:val="clear" w:color="auto" w:fill="F2F2F2" w:themeFill="background1" w:themeFillShade="F2"/>
          </w:tcPr>
          <w:p w14:paraId="0D6961BF" w14:textId="77777777" w:rsidR="005D72AE" w:rsidRPr="00D777F3"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1436" w:type="dxa"/>
          </w:tcPr>
          <w:p w14:paraId="1ED78B5E" w14:textId="77777777" w:rsidR="005D72AE" w:rsidRPr="00D777F3" w:rsidRDefault="005D72AE" w:rsidP="00FA2A1A">
            <w:pPr>
              <w:rPr>
                <w:b/>
                <w:bCs/>
                <w:lang w:val="en-GB"/>
              </w:rPr>
            </w:pPr>
          </w:p>
        </w:tc>
      </w:tr>
      <w:tr w:rsidR="005D72AE" w:rsidRPr="00844A25" w14:paraId="25D0CDB8" w14:textId="77777777" w:rsidTr="00FA2A1A">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6497" w:type="dxa"/>
          </w:tcPr>
          <w:p w14:paraId="00ACD8F5" w14:textId="77777777" w:rsidR="005D72AE" w:rsidRPr="00D777F3" w:rsidRDefault="005D72AE" w:rsidP="00FA2A1A">
            <w:pPr>
              <w:rPr>
                <w:b/>
                <w:bCs/>
                <w:lang w:val="en-US"/>
              </w:rPr>
            </w:pPr>
            <w:r w:rsidRPr="00D777F3">
              <w:rPr>
                <w:b/>
                <w:bCs/>
                <w:lang w:val="en-US"/>
              </w:rPr>
              <w:t>Statutory</w:t>
            </w:r>
          </w:p>
        </w:tc>
        <w:tc>
          <w:tcPr>
            <w:cnfStyle w:val="000001000000" w:firstRow="0" w:lastRow="0" w:firstColumn="0" w:lastColumn="0" w:oddVBand="0" w:evenVBand="1" w:oddHBand="0" w:evenHBand="0" w:firstRowFirstColumn="0" w:firstRowLastColumn="0" w:lastRowFirstColumn="0" w:lastRowLastColumn="0"/>
            <w:tcW w:w="1436" w:type="dxa"/>
            <w:shd w:val="clear" w:color="auto" w:fill="F2F2F2" w:themeFill="background1" w:themeFillShade="F2"/>
          </w:tcPr>
          <w:p w14:paraId="020BE6C1" w14:textId="77777777" w:rsidR="005D72AE" w:rsidRPr="00D777F3"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1436" w:type="dxa"/>
          </w:tcPr>
          <w:p w14:paraId="1DA032FD" w14:textId="77777777" w:rsidR="005D72AE" w:rsidRPr="00D777F3" w:rsidRDefault="005D72AE" w:rsidP="00FA2A1A">
            <w:pPr>
              <w:rPr>
                <w:b/>
                <w:bCs/>
                <w:lang w:val="en-GB"/>
              </w:rPr>
            </w:pPr>
          </w:p>
        </w:tc>
      </w:tr>
      <w:tr w:rsidR="005D72AE" w:rsidRPr="00844A25" w14:paraId="217443E4" w14:textId="77777777" w:rsidTr="00FA2A1A">
        <w:trPr>
          <w:trHeight w:val="353"/>
        </w:trPr>
        <w:tc>
          <w:tcPr>
            <w:cnfStyle w:val="000010000000" w:firstRow="0" w:lastRow="0" w:firstColumn="0" w:lastColumn="0" w:oddVBand="1" w:evenVBand="0" w:oddHBand="0" w:evenHBand="0" w:firstRowFirstColumn="0" w:firstRowLastColumn="0" w:lastRowFirstColumn="0" w:lastRowLastColumn="0"/>
            <w:tcW w:w="6497" w:type="dxa"/>
          </w:tcPr>
          <w:p w14:paraId="5670C0B4" w14:textId="77777777" w:rsidR="005D72AE" w:rsidRPr="00844A25" w:rsidRDefault="005D72AE" w:rsidP="00FA2A1A">
            <w:pPr>
              <w:rPr>
                <w:lang w:val="en-US"/>
              </w:rPr>
            </w:pPr>
            <w:r w:rsidRPr="00844A25">
              <w:rPr>
                <w:lang w:val="en-US"/>
              </w:rPr>
              <w:t>Amounts receivable from government departments</w:t>
            </w:r>
          </w:p>
        </w:tc>
        <w:tc>
          <w:tcPr>
            <w:cnfStyle w:val="000001000000" w:firstRow="0" w:lastRow="0" w:firstColumn="0" w:lastColumn="0" w:oddVBand="0" w:evenVBand="1" w:oddHBand="0" w:evenHBand="0" w:firstRowFirstColumn="0" w:firstRowLastColumn="0" w:lastRowFirstColumn="0" w:lastRowLastColumn="0"/>
            <w:tcW w:w="1436" w:type="dxa"/>
            <w:shd w:val="clear" w:color="auto" w:fill="F2F2F2" w:themeFill="background1" w:themeFillShade="F2"/>
          </w:tcPr>
          <w:p w14:paraId="3E9DAC12" w14:textId="77777777" w:rsidR="005D72AE" w:rsidRPr="00844A25" w:rsidRDefault="005D72AE" w:rsidP="00FA2A1A">
            <w:pPr>
              <w:rPr>
                <w:lang w:val="en-US"/>
              </w:rPr>
            </w:pPr>
            <w:r w:rsidRPr="00844A25">
              <w:rPr>
                <w:lang w:val="en-US"/>
              </w:rPr>
              <w:t>489,553</w:t>
            </w:r>
          </w:p>
        </w:tc>
        <w:tc>
          <w:tcPr>
            <w:cnfStyle w:val="000010000000" w:firstRow="0" w:lastRow="0" w:firstColumn="0" w:lastColumn="0" w:oddVBand="1" w:evenVBand="0" w:oddHBand="0" w:evenHBand="0" w:firstRowFirstColumn="0" w:firstRowLastColumn="0" w:lastRowFirstColumn="0" w:lastRowLastColumn="0"/>
            <w:tcW w:w="1436" w:type="dxa"/>
          </w:tcPr>
          <w:p w14:paraId="41DEF546" w14:textId="77777777" w:rsidR="005D72AE" w:rsidRPr="00844A25" w:rsidRDefault="005D72AE" w:rsidP="00FA2A1A">
            <w:pPr>
              <w:rPr>
                <w:lang w:val="en-US"/>
              </w:rPr>
            </w:pPr>
            <w:r w:rsidRPr="00844A25">
              <w:rPr>
                <w:lang w:val="en-US"/>
              </w:rPr>
              <w:t>330,337</w:t>
            </w:r>
          </w:p>
        </w:tc>
      </w:tr>
      <w:tr w:rsidR="005D72AE" w:rsidRPr="00844A25" w14:paraId="580F4DA9" w14:textId="77777777" w:rsidTr="00FA2A1A">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6497" w:type="dxa"/>
          </w:tcPr>
          <w:p w14:paraId="045D43EB" w14:textId="77777777" w:rsidR="005D72AE" w:rsidRPr="00844A25" w:rsidRDefault="005D72AE" w:rsidP="00FA2A1A">
            <w:pPr>
              <w:rPr>
                <w:lang w:val="en-US"/>
              </w:rPr>
            </w:pPr>
            <w:r w:rsidRPr="00844A25">
              <w:rPr>
                <w:lang w:val="en-US"/>
              </w:rPr>
              <w:t>Total non-current receivables</w:t>
            </w:r>
          </w:p>
        </w:tc>
        <w:tc>
          <w:tcPr>
            <w:cnfStyle w:val="000001000000" w:firstRow="0" w:lastRow="0" w:firstColumn="0" w:lastColumn="0" w:oddVBand="0" w:evenVBand="1" w:oddHBand="0" w:evenHBand="0" w:firstRowFirstColumn="0" w:firstRowLastColumn="0" w:lastRowFirstColumn="0" w:lastRowLastColumn="0"/>
            <w:tcW w:w="1436" w:type="dxa"/>
            <w:shd w:val="clear" w:color="auto" w:fill="F2F2F2" w:themeFill="background1" w:themeFillShade="F2"/>
          </w:tcPr>
          <w:p w14:paraId="090349CB" w14:textId="77777777" w:rsidR="005D72AE" w:rsidRPr="00844A25" w:rsidRDefault="005D72AE" w:rsidP="00FA2A1A">
            <w:pPr>
              <w:rPr>
                <w:lang w:val="en-US"/>
              </w:rPr>
            </w:pPr>
            <w:r w:rsidRPr="00844A25">
              <w:rPr>
                <w:lang w:val="en-US"/>
              </w:rPr>
              <w:t>489,553</w:t>
            </w:r>
          </w:p>
        </w:tc>
        <w:tc>
          <w:tcPr>
            <w:cnfStyle w:val="000010000000" w:firstRow="0" w:lastRow="0" w:firstColumn="0" w:lastColumn="0" w:oddVBand="1" w:evenVBand="0" w:oddHBand="0" w:evenHBand="0" w:firstRowFirstColumn="0" w:firstRowLastColumn="0" w:lastRowFirstColumn="0" w:lastRowLastColumn="0"/>
            <w:tcW w:w="1436" w:type="dxa"/>
          </w:tcPr>
          <w:p w14:paraId="5E32A5CB" w14:textId="77777777" w:rsidR="005D72AE" w:rsidRPr="00844A25" w:rsidRDefault="005D72AE" w:rsidP="00FA2A1A">
            <w:pPr>
              <w:rPr>
                <w:lang w:val="en-US"/>
              </w:rPr>
            </w:pPr>
            <w:r w:rsidRPr="00844A25">
              <w:rPr>
                <w:lang w:val="en-US"/>
              </w:rPr>
              <w:t>330,337</w:t>
            </w:r>
          </w:p>
        </w:tc>
      </w:tr>
      <w:tr w:rsidR="005D72AE" w:rsidRPr="00844A25" w14:paraId="4AF956CF" w14:textId="77777777" w:rsidTr="00FA2A1A">
        <w:trPr>
          <w:trHeight w:val="353"/>
        </w:trPr>
        <w:tc>
          <w:tcPr>
            <w:cnfStyle w:val="000010000000" w:firstRow="0" w:lastRow="0" w:firstColumn="0" w:lastColumn="0" w:oddVBand="1" w:evenVBand="0" w:oddHBand="0" w:evenHBand="0" w:firstRowFirstColumn="0" w:firstRowLastColumn="0" w:lastRowFirstColumn="0" w:lastRowLastColumn="0"/>
            <w:tcW w:w="6497" w:type="dxa"/>
          </w:tcPr>
          <w:p w14:paraId="5E234255" w14:textId="77777777" w:rsidR="005D72AE" w:rsidRPr="00362DC2" w:rsidRDefault="005D72AE" w:rsidP="00FA2A1A">
            <w:pPr>
              <w:rPr>
                <w:b/>
                <w:bCs/>
                <w:lang w:val="en-US"/>
              </w:rPr>
            </w:pPr>
            <w:r w:rsidRPr="00362DC2">
              <w:rPr>
                <w:b/>
                <w:bCs/>
                <w:lang w:val="en-US"/>
              </w:rPr>
              <w:t>Total receivables</w:t>
            </w:r>
          </w:p>
        </w:tc>
        <w:tc>
          <w:tcPr>
            <w:cnfStyle w:val="000001000000" w:firstRow="0" w:lastRow="0" w:firstColumn="0" w:lastColumn="0" w:oddVBand="0" w:evenVBand="1" w:oddHBand="0" w:evenHBand="0" w:firstRowFirstColumn="0" w:firstRowLastColumn="0" w:lastRowFirstColumn="0" w:lastRowLastColumn="0"/>
            <w:tcW w:w="1436" w:type="dxa"/>
            <w:shd w:val="clear" w:color="auto" w:fill="F2F2F2" w:themeFill="background1" w:themeFillShade="F2"/>
          </w:tcPr>
          <w:p w14:paraId="09B48CFA" w14:textId="77777777" w:rsidR="005D72AE" w:rsidRPr="00362DC2" w:rsidRDefault="005D72AE" w:rsidP="00FA2A1A">
            <w:pPr>
              <w:rPr>
                <w:b/>
                <w:bCs/>
                <w:lang w:val="en-US"/>
              </w:rPr>
            </w:pPr>
            <w:r w:rsidRPr="00362DC2">
              <w:rPr>
                <w:b/>
                <w:bCs/>
                <w:lang w:val="en-US"/>
              </w:rPr>
              <w:t>20,974,979</w:t>
            </w:r>
          </w:p>
        </w:tc>
        <w:tc>
          <w:tcPr>
            <w:cnfStyle w:val="000010000000" w:firstRow="0" w:lastRow="0" w:firstColumn="0" w:lastColumn="0" w:oddVBand="1" w:evenVBand="0" w:oddHBand="0" w:evenHBand="0" w:firstRowFirstColumn="0" w:firstRowLastColumn="0" w:lastRowFirstColumn="0" w:lastRowLastColumn="0"/>
            <w:tcW w:w="1436" w:type="dxa"/>
          </w:tcPr>
          <w:p w14:paraId="6E90FAFB" w14:textId="77777777" w:rsidR="005D72AE" w:rsidRPr="00362DC2" w:rsidRDefault="005D72AE" w:rsidP="00FA2A1A">
            <w:pPr>
              <w:rPr>
                <w:b/>
                <w:bCs/>
                <w:lang w:val="en-US"/>
              </w:rPr>
            </w:pPr>
            <w:r w:rsidRPr="00362DC2">
              <w:rPr>
                <w:b/>
                <w:bCs/>
                <w:lang w:val="en-US"/>
              </w:rPr>
              <w:t>18,484,210</w:t>
            </w:r>
          </w:p>
        </w:tc>
      </w:tr>
    </w:tbl>
    <w:p w14:paraId="5A842521" w14:textId="77777777" w:rsidR="005D72AE" w:rsidRPr="00844A25" w:rsidRDefault="005D72AE" w:rsidP="005D72AE">
      <w:pPr>
        <w:pageBreakBefore/>
        <w:rPr>
          <w:lang w:val="en-US"/>
        </w:rPr>
      </w:pPr>
      <w:r w:rsidRPr="00844A25">
        <w:rPr>
          <w:lang w:val="en-US"/>
        </w:rPr>
        <w:lastRenderedPageBreak/>
        <w:t>Receivables consist of:</w:t>
      </w:r>
    </w:p>
    <w:p w14:paraId="1A914C57" w14:textId="77777777" w:rsidR="005D72AE" w:rsidRPr="00844A25" w:rsidRDefault="005D72AE" w:rsidP="005D72AE">
      <w:pPr>
        <w:pStyle w:val="ListBullet"/>
        <w:numPr>
          <w:ilvl w:val="0"/>
          <w:numId w:val="1"/>
        </w:numPr>
        <w:spacing w:before="0" w:after="180"/>
        <w:rPr>
          <w:lang w:val="en-US"/>
        </w:rPr>
      </w:pPr>
      <w:r w:rsidRPr="00844A25">
        <w:rPr>
          <w:lang w:val="en-US"/>
        </w:rPr>
        <w:t>contractual receivables, which include mainly debtors in relation to goods and services; and</w:t>
      </w:r>
    </w:p>
    <w:p w14:paraId="532A67EB" w14:textId="77777777" w:rsidR="005D72AE" w:rsidRPr="00844A25" w:rsidRDefault="005D72AE" w:rsidP="005D72AE">
      <w:pPr>
        <w:pStyle w:val="ListBullet"/>
        <w:numPr>
          <w:ilvl w:val="0"/>
          <w:numId w:val="1"/>
        </w:numPr>
        <w:spacing w:before="0" w:after="180"/>
        <w:rPr>
          <w:lang w:val="en-US"/>
        </w:rPr>
      </w:pPr>
      <w:r w:rsidRPr="00844A25">
        <w:rPr>
          <w:lang w:val="en-US"/>
        </w:rPr>
        <w:t>statutory receivables, which include predominantly amounts owing from the Victorian Government</w:t>
      </w:r>
      <w:r>
        <w:rPr>
          <w:lang w:val="en-US"/>
        </w:rPr>
        <w:t xml:space="preserve"> </w:t>
      </w:r>
      <w:r w:rsidRPr="00844A25">
        <w:rPr>
          <w:lang w:val="en-US"/>
        </w:rPr>
        <w:t>and GST input tax credits recoverable.</w:t>
      </w:r>
    </w:p>
    <w:p w14:paraId="1CE172B2" w14:textId="77777777" w:rsidR="005D72AE" w:rsidRPr="00844A25" w:rsidRDefault="005D72AE" w:rsidP="005D72AE">
      <w:pPr>
        <w:rPr>
          <w:lang w:val="en-US"/>
        </w:rPr>
      </w:pPr>
      <w:r w:rsidRPr="00844A25">
        <w:rPr>
          <w:lang w:val="en-US"/>
        </w:rPr>
        <w:t>Receivables that are contractual are classified as financial instruments and categorised as financial assets at amortised cost. Receivables are recognised initially at fair value and subsequently measured at amortised cost, using the effective interest method, less any allowance for impairment. Statutory receivables are recognised and measured on the same basis as contractual receivables (except for impairment) but are</w:t>
      </w:r>
      <w:r>
        <w:rPr>
          <w:lang w:val="en-US"/>
        </w:rPr>
        <w:t xml:space="preserve"> </w:t>
      </w:r>
      <w:r w:rsidRPr="00844A25">
        <w:rPr>
          <w:lang w:val="en-US"/>
        </w:rPr>
        <w:t>not classified as financial instruments as they do not arise from a contract.</w:t>
      </w:r>
    </w:p>
    <w:p w14:paraId="0FF9E5B7" w14:textId="77777777" w:rsidR="005D72AE" w:rsidRPr="00844A25" w:rsidRDefault="005D72AE" w:rsidP="005D72AE">
      <w:pPr>
        <w:rPr>
          <w:lang w:val="en-US"/>
        </w:rPr>
      </w:pPr>
      <w:r w:rsidRPr="00844A25">
        <w:rPr>
          <w:lang w:val="en-US"/>
        </w:rPr>
        <w:t>Collectability of debtors is reviewed on an ongoing basis. A provision for doubtful debts is raised when there</w:t>
      </w:r>
      <w:r>
        <w:rPr>
          <w:lang w:val="en-US"/>
        </w:rPr>
        <w:t xml:space="preserve"> </w:t>
      </w:r>
      <w:r w:rsidRPr="00844A25">
        <w:rPr>
          <w:lang w:val="en-US"/>
        </w:rPr>
        <w:t>is objective evidence that the debts may not be collected. Bad debts are written off when identified.</w:t>
      </w:r>
    </w:p>
    <w:p w14:paraId="00EE692A" w14:textId="77777777" w:rsidR="005D72AE" w:rsidRPr="00844A25" w:rsidRDefault="005D72AE" w:rsidP="005D72AE">
      <w:pPr>
        <w:pStyle w:val="Heading3"/>
      </w:pPr>
      <w:r w:rsidRPr="00844A25">
        <w:t xml:space="preserve">6.2. Payables </w:t>
      </w:r>
    </w:p>
    <w:tbl>
      <w:tblPr>
        <w:tblStyle w:val="PlainTable2"/>
        <w:tblW w:w="9171" w:type="dxa"/>
        <w:tblInd w:w="-5" w:type="dxa"/>
        <w:tblLayout w:type="fixed"/>
        <w:tblLook w:val="0020" w:firstRow="1" w:lastRow="0" w:firstColumn="0" w:lastColumn="0" w:noHBand="0" w:noVBand="0"/>
      </w:tblPr>
      <w:tblGrid>
        <w:gridCol w:w="6153"/>
        <w:gridCol w:w="1509"/>
        <w:gridCol w:w="1509"/>
      </w:tblGrid>
      <w:tr w:rsidR="005D72AE" w:rsidRPr="00844A25" w14:paraId="353E821E" w14:textId="77777777" w:rsidTr="00FA2A1A">
        <w:trPr>
          <w:cnfStyle w:val="100000000000" w:firstRow="1" w:lastRow="0" w:firstColumn="0" w:lastColumn="0" w:oddVBand="0" w:evenVBand="0" w:oddHBand="0"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6153" w:type="dxa"/>
          </w:tcPr>
          <w:p w14:paraId="55450EE7" w14:textId="77777777" w:rsidR="005D72AE" w:rsidRPr="009542CC"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1509" w:type="dxa"/>
            <w:shd w:val="clear" w:color="auto" w:fill="F2F2F2" w:themeFill="background1" w:themeFillShade="F2"/>
          </w:tcPr>
          <w:p w14:paraId="555998EC" w14:textId="77777777" w:rsidR="005D72AE" w:rsidRPr="009542CC" w:rsidRDefault="005D72AE" w:rsidP="00FA2A1A">
            <w:pPr>
              <w:rPr>
                <w:lang w:val="en-US"/>
              </w:rPr>
            </w:pPr>
            <w:r w:rsidRPr="009542CC">
              <w:rPr>
                <w:lang w:val="en-US"/>
              </w:rPr>
              <w:t>2020</w:t>
            </w:r>
          </w:p>
        </w:tc>
        <w:tc>
          <w:tcPr>
            <w:cnfStyle w:val="000010000000" w:firstRow="0" w:lastRow="0" w:firstColumn="0" w:lastColumn="0" w:oddVBand="1" w:evenVBand="0" w:oddHBand="0" w:evenHBand="0" w:firstRowFirstColumn="0" w:firstRowLastColumn="0" w:lastRowFirstColumn="0" w:lastRowLastColumn="0"/>
            <w:tcW w:w="1509" w:type="dxa"/>
          </w:tcPr>
          <w:p w14:paraId="694C7557" w14:textId="77777777" w:rsidR="005D72AE" w:rsidRPr="009542CC" w:rsidRDefault="005D72AE" w:rsidP="00FA2A1A">
            <w:pPr>
              <w:rPr>
                <w:lang w:val="en-US"/>
              </w:rPr>
            </w:pPr>
            <w:r w:rsidRPr="009542CC">
              <w:rPr>
                <w:lang w:val="en-US"/>
              </w:rPr>
              <w:t>2019</w:t>
            </w:r>
          </w:p>
        </w:tc>
      </w:tr>
      <w:tr w:rsidR="005D72AE" w:rsidRPr="00844A25" w14:paraId="6ABB53E3" w14:textId="77777777" w:rsidTr="00FA2A1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6153" w:type="dxa"/>
          </w:tcPr>
          <w:p w14:paraId="3A1287E0" w14:textId="77777777" w:rsidR="005D72AE" w:rsidRPr="00D777F3"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509" w:type="dxa"/>
            <w:shd w:val="clear" w:color="auto" w:fill="F2F2F2" w:themeFill="background1" w:themeFillShade="F2"/>
          </w:tcPr>
          <w:p w14:paraId="73F36115" w14:textId="77777777" w:rsidR="005D72AE" w:rsidRPr="00D777F3" w:rsidRDefault="005D72AE" w:rsidP="00FA2A1A">
            <w:pPr>
              <w:rPr>
                <w:b/>
                <w:bCs/>
                <w:lang w:val="en-US"/>
              </w:rPr>
            </w:pPr>
            <w:r w:rsidRPr="00D777F3">
              <w:rPr>
                <w:b/>
                <w:bCs/>
                <w:lang w:val="en-US"/>
              </w:rPr>
              <w:t>$</w:t>
            </w:r>
          </w:p>
        </w:tc>
        <w:tc>
          <w:tcPr>
            <w:cnfStyle w:val="000010000000" w:firstRow="0" w:lastRow="0" w:firstColumn="0" w:lastColumn="0" w:oddVBand="1" w:evenVBand="0" w:oddHBand="0" w:evenHBand="0" w:firstRowFirstColumn="0" w:firstRowLastColumn="0" w:lastRowFirstColumn="0" w:lastRowLastColumn="0"/>
            <w:tcW w:w="1509" w:type="dxa"/>
          </w:tcPr>
          <w:p w14:paraId="5AE0521F" w14:textId="77777777" w:rsidR="005D72AE" w:rsidRPr="00D777F3" w:rsidRDefault="005D72AE" w:rsidP="00FA2A1A">
            <w:pPr>
              <w:rPr>
                <w:b/>
                <w:bCs/>
                <w:lang w:val="en-US"/>
              </w:rPr>
            </w:pPr>
            <w:r w:rsidRPr="00D777F3">
              <w:rPr>
                <w:b/>
                <w:bCs/>
                <w:lang w:val="en-US"/>
              </w:rPr>
              <w:t>$</w:t>
            </w:r>
          </w:p>
        </w:tc>
      </w:tr>
      <w:tr w:rsidR="005D72AE" w:rsidRPr="00844A25" w14:paraId="785D980F" w14:textId="77777777" w:rsidTr="00FA2A1A">
        <w:trPr>
          <w:trHeight w:val="299"/>
        </w:trPr>
        <w:tc>
          <w:tcPr>
            <w:cnfStyle w:val="000010000000" w:firstRow="0" w:lastRow="0" w:firstColumn="0" w:lastColumn="0" w:oddVBand="1" w:evenVBand="0" w:oddHBand="0" w:evenHBand="0" w:firstRowFirstColumn="0" w:firstRowLastColumn="0" w:lastRowFirstColumn="0" w:lastRowLastColumn="0"/>
            <w:tcW w:w="6153" w:type="dxa"/>
          </w:tcPr>
          <w:p w14:paraId="2F8E297F" w14:textId="77777777" w:rsidR="005D72AE" w:rsidRPr="00D777F3" w:rsidRDefault="005D72AE" w:rsidP="00FA2A1A">
            <w:pPr>
              <w:rPr>
                <w:b/>
                <w:bCs/>
                <w:lang w:val="en-US"/>
              </w:rPr>
            </w:pPr>
            <w:r w:rsidRPr="00D777F3">
              <w:rPr>
                <w:b/>
                <w:bCs/>
                <w:lang w:val="en-US"/>
              </w:rPr>
              <w:t>Current:</w:t>
            </w:r>
          </w:p>
        </w:tc>
        <w:tc>
          <w:tcPr>
            <w:cnfStyle w:val="000001000000" w:firstRow="0" w:lastRow="0" w:firstColumn="0" w:lastColumn="0" w:oddVBand="0" w:evenVBand="1" w:oddHBand="0" w:evenHBand="0" w:firstRowFirstColumn="0" w:firstRowLastColumn="0" w:lastRowFirstColumn="0" w:lastRowLastColumn="0"/>
            <w:tcW w:w="1509" w:type="dxa"/>
            <w:shd w:val="clear" w:color="auto" w:fill="F2F2F2" w:themeFill="background1" w:themeFillShade="F2"/>
          </w:tcPr>
          <w:p w14:paraId="7BDAB48A" w14:textId="77777777" w:rsidR="005D72AE" w:rsidRPr="00D777F3"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1509" w:type="dxa"/>
          </w:tcPr>
          <w:p w14:paraId="104D164F" w14:textId="77777777" w:rsidR="005D72AE" w:rsidRPr="00D777F3" w:rsidRDefault="005D72AE" w:rsidP="00FA2A1A">
            <w:pPr>
              <w:rPr>
                <w:b/>
                <w:bCs/>
                <w:lang w:val="en-GB"/>
              </w:rPr>
            </w:pPr>
          </w:p>
        </w:tc>
      </w:tr>
      <w:tr w:rsidR="005D72AE" w:rsidRPr="00844A25" w14:paraId="3459C472" w14:textId="77777777" w:rsidTr="00FA2A1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6153" w:type="dxa"/>
          </w:tcPr>
          <w:p w14:paraId="399F5C9A" w14:textId="77777777" w:rsidR="005D72AE" w:rsidRPr="00D777F3" w:rsidRDefault="005D72AE" w:rsidP="00FA2A1A">
            <w:pPr>
              <w:rPr>
                <w:b/>
                <w:bCs/>
                <w:lang w:val="en-US"/>
              </w:rPr>
            </w:pPr>
            <w:r w:rsidRPr="00D777F3">
              <w:rPr>
                <w:b/>
                <w:bCs/>
                <w:lang w:val="en-US"/>
              </w:rPr>
              <w:t>Contractual</w:t>
            </w:r>
          </w:p>
        </w:tc>
        <w:tc>
          <w:tcPr>
            <w:cnfStyle w:val="000001000000" w:firstRow="0" w:lastRow="0" w:firstColumn="0" w:lastColumn="0" w:oddVBand="0" w:evenVBand="1" w:oddHBand="0" w:evenHBand="0" w:firstRowFirstColumn="0" w:firstRowLastColumn="0" w:lastRowFirstColumn="0" w:lastRowLastColumn="0"/>
            <w:tcW w:w="1509" w:type="dxa"/>
            <w:shd w:val="clear" w:color="auto" w:fill="F2F2F2" w:themeFill="background1" w:themeFillShade="F2"/>
          </w:tcPr>
          <w:p w14:paraId="31B0622D" w14:textId="77777777" w:rsidR="005D72AE" w:rsidRPr="00D777F3"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1509" w:type="dxa"/>
          </w:tcPr>
          <w:p w14:paraId="56B33735" w14:textId="77777777" w:rsidR="005D72AE" w:rsidRPr="00D777F3" w:rsidRDefault="005D72AE" w:rsidP="00FA2A1A">
            <w:pPr>
              <w:rPr>
                <w:b/>
                <w:bCs/>
                <w:lang w:val="en-GB"/>
              </w:rPr>
            </w:pPr>
          </w:p>
        </w:tc>
      </w:tr>
      <w:tr w:rsidR="005D72AE" w:rsidRPr="00844A25" w14:paraId="79830E0B" w14:textId="77777777" w:rsidTr="00FA2A1A">
        <w:trPr>
          <w:trHeight w:val="299"/>
        </w:trPr>
        <w:tc>
          <w:tcPr>
            <w:cnfStyle w:val="000010000000" w:firstRow="0" w:lastRow="0" w:firstColumn="0" w:lastColumn="0" w:oddVBand="1" w:evenVBand="0" w:oddHBand="0" w:evenHBand="0" w:firstRowFirstColumn="0" w:firstRowLastColumn="0" w:lastRowFirstColumn="0" w:lastRowLastColumn="0"/>
            <w:tcW w:w="6153" w:type="dxa"/>
          </w:tcPr>
          <w:p w14:paraId="72D21B3C" w14:textId="77777777" w:rsidR="005D72AE" w:rsidRPr="00844A25" w:rsidRDefault="005D72AE" w:rsidP="00FA2A1A">
            <w:pPr>
              <w:rPr>
                <w:lang w:val="en-US"/>
              </w:rPr>
            </w:pPr>
            <w:r w:rsidRPr="00844A25">
              <w:rPr>
                <w:lang w:val="en-US"/>
              </w:rPr>
              <w:t>Creditors and accruals</w:t>
            </w:r>
          </w:p>
        </w:tc>
        <w:tc>
          <w:tcPr>
            <w:cnfStyle w:val="000001000000" w:firstRow="0" w:lastRow="0" w:firstColumn="0" w:lastColumn="0" w:oddVBand="0" w:evenVBand="1" w:oddHBand="0" w:evenHBand="0" w:firstRowFirstColumn="0" w:firstRowLastColumn="0" w:lastRowFirstColumn="0" w:lastRowLastColumn="0"/>
            <w:tcW w:w="1509" w:type="dxa"/>
            <w:shd w:val="clear" w:color="auto" w:fill="F2F2F2" w:themeFill="background1" w:themeFillShade="F2"/>
          </w:tcPr>
          <w:p w14:paraId="016BB421" w14:textId="77777777" w:rsidR="005D72AE" w:rsidRPr="00844A25" w:rsidRDefault="005D72AE" w:rsidP="00FA2A1A">
            <w:pPr>
              <w:rPr>
                <w:lang w:val="en-US"/>
              </w:rPr>
            </w:pPr>
            <w:r w:rsidRPr="00844A25">
              <w:rPr>
                <w:lang w:val="en-US"/>
              </w:rPr>
              <w:t>3,601,684</w:t>
            </w:r>
          </w:p>
        </w:tc>
        <w:tc>
          <w:tcPr>
            <w:cnfStyle w:val="000010000000" w:firstRow="0" w:lastRow="0" w:firstColumn="0" w:lastColumn="0" w:oddVBand="1" w:evenVBand="0" w:oddHBand="0" w:evenHBand="0" w:firstRowFirstColumn="0" w:firstRowLastColumn="0" w:lastRowFirstColumn="0" w:lastRowLastColumn="0"/>
            <w:tcW w:w="1509" w:type="dxa"/>
          </w:tcPr>
          <w:p w14:paraId="1BE9F5AF" w14:textId="77777777" w:rsidR="005D72AE" w:rsidRPr="00844A25" w:rsidRDefault="005D72AE" w:rsidP="00FA2A1A">
            <w:pPr>
              <w:rPr>
                <w:lang w:val="en-US"/>
              </w:rPr>
            </w:pPr>
            <w:r w:rsidRPr="00844A25">
              <w:rPr>
                <w:lang w:val="en-US"/>
              </w:rPr>
              <w:t>1,864,051</w:t>
            </w:r>
          </w:p>
        </w:tc>
      </w:tr>
      <w:tr w:rsidR="005D72AE" w:rsidRPr="00844A25" w14:paraId="7012D2D5" w14:textId="77777777" w:rsidTr="00FA2A1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6153" w:type="dxa"/>
          </w:tcPr>
          <w:p w14:paraId="33BEAEAD" w14:textId="77777777" w:rsidR="005D72AE" w:rsidRPr="00D777F3" w:rsidRDefault="005D72AE" w:rsidP="00FA2A1A">
            <w:pPr>
              <w:rPr>
                <w:b/>
                <w:bCs/>
                <w:lang w:val="en-US"/>
              </w:rPr>
            </w:pPr>
            <w:r w:rsidRPr="00D777F3">
              <w:rPr>
                <w:b/>
                <w:bCs/>
                <w:lang w:val="en-US"/>
              </w:rPr>
              <w:t>Total payables</w:t>
            </w:r>
          </w:p>
        </w:tc>
        <w:tc>
          <w:tcPr>
            <w:cnfStyle w:val="000001000000" w:firstRow="0" w:lastRow="0" w:firstColumn="0" w:lastColumn="0" w:oddVBand="0" w:evenVBand="1" w:oddHBand="0" w:evenHBand="0" w:firstRowFirstColumn="0" w:firstRowLastColumn="0" w:lastRowFirstColumn="0" w:lastRowLastColumn="0"/>
            <w:tcW w:w="1509" w:type="dxa"/>
            <w:shd w:val="clear" w:color="auto" w:fill="F2F2F2" w:themeFill="background1" w:themeFillShade="F2"/>
          </w:tcPr>
          <w:p w14:paraId="353FE9A8" w14:textId="77777777" w:rsidR="005D72AE" w:rsidRPr="00D777F3" w:rsidRDefault="005D72AE" w:rsidP="00FA2A1A">
            <w:pPr>
              <w:rPr>
                <w:b/>
                <w:bCs/>
                <w:lang w:val="en-US"/>
              </w:rPr>
            </w:pPr>
            <w:r w:rsidRPr="00D777F3">
              <w:rPr>
                <w:b/>
                <w:bCs/>
                <w:lang w:val="en-US"/>
              </w:rPr>
              <w:t>3,601,684</w:t>
            </w:r>
          </w:p>
        </w:tc>
        <w:tc>
          <w:tcPr>
            <w:cnfStyle w:val="000010000000" w:firstRow="0" w:lastRow="0" w:firstColumn="0" w:lastColumn="0" w:oddVBand="1" w:evenVBand="0" w:oddHBand="0" w:evenHBand="0" w:firstRowFirstColumn="0" w:firstRowLastColumn="0" w:lastRowFirstColumn="0" w:lastRowLastColumn="0"/>
            <w:tcW w:w="1509" w:type="dxa"/>
          </w:tcPr>
          <w:p w14:paraId="6FF39E75" w14:textId="77777777" w:rsidR="005D72AE" w:rsidRPr="00D777F3" w:rsidRDefault="005D72AE" w:rsidP="00FA2A1A">
            <w:pPr>
              <w:rPr>
                <w:b/>
                <w:bCs/>
                <w:lang w:val="en-US"/>
              </w:rPr>
            </w:pPr>
            <w:r w:rsidRPr="00D777F3">
              <w:rPr>
                <w:b/>
                <w:bCs/>
                <w:lang w:val="en-US"/>
              </w:rPr>
              <w:t>1,864,051</w:t>
            </w:r>
          </w:p>
        </w:tc>
      </w:tr>
    </w:tbl>
    <w:p w14:paraId="1D2F179D" w14:textId="77777777" w:rsidR="005D72AE" w:rsidRPr="00844A25" w:rsidRDefault="005D72AE" w:rsidP="005D72AE">
      <w:pPr>
        <w:rPr>
          <w:lang w:val="en-US"/>
        </w:rPr>
      </w:pPr>
      <w:r w:rsidRPr="00844A25">
        <w:rPr>
          <w:lang w:val="en-US"/>
        </w:rPr>
        <w:t>Payables consist of:</w:t>
      </w:r>
    </w:p>
    <w:p w14:paraId="32A99A9B" w14:textId="77777777" w:rsidR="005D72AE" w:rsidRPr="00844A25" w:rsidRDefault="005D72AE" w:rsidP="005D72AE">
      <w:pPr>
        <w:pStyle w:val="ListBullet"/>
        <w:numPr>
          <w:ilvl w:val="0"/>
          <w:numId w:val="1"/>
        </w:numPr>
        <w:spacing w:before="0" w:after="180"/>
        <w:rPr>
          <w:lang w:val="en-US"/>
        </w:rPr>
      </w:pPr>
      <w:r w:rsidRPr="00844A25">
        <w:rPr>
          <w:lang w:val="en-US"/>
        </w:rPr>
        <w:t>contractual payables represent liabilities for goods and services provided to the commission that</w:t>
      </w:r>
      <w:r>
        <w:rPr>
          <w:lang w:val="en-US"/>
        </w:rPr>
        <w:t xml:space="preserve"> </w:t>
      </w:r>
      <w:r w:rsidRPr="00844A25">
        <w:rPr>
          <w:lang w:val="en-US"/>
        </w:rPr>
        <w:t>are unpaid at the end of the financial year, and arise when the commission becomes obliged to</w:t>
      </w:r>
      <w:r>
        <w:rPr>
          <w:lang w:val="en-US"/>
        </w:rPr>
        <w:t xml:space="preserve"> </w:t>
      </w:r>
      <w:r w:rsidRPr="00844A25">
        <w:rPr>
          <w:lang w:val="en-US"/>
        </w:rPr>
        <w:t>make future payments in respect of the purchase of those goods and services; and</w:t>
      </w:r>
    </w:p>
    <w:p w14:paraId="2F9D0B78" w14:textId="77777777" w:rsidR="005D72AE" w:rsidRPr="00844A25" w:rsidRDefault="005D72AE" w:rsidP="005D72AE">
      <w:pPr>
        <w:pStyle w:val="ListBullet"/>
        <w:numPr>
          <w:ilvl w:val="0"/>
          <w:numId w:val="1"/>
        </w:numPr>
        <w:spacing w:before="0" w:after="180"/>
        <w:rPr>
          <w:lang w:val="en-US"/>
        </w:rPr>
      </w:pPr>
      <w:r w:rsidRPr="00844A25">
        <w:rPr>
          <w:lang w:val="en-US"/>
        </w:rPr>
        <w:t>statutory payables, such as goods and services tax and fringe benefit tax payables.</w:t>
      </w:r>
    </w:p>
    <w:p w14:paraId="36CDC84C" w14:textId="77777777" w:rsidR="005D72AE" w:rsidRPr="00844A25" w:rsidRDefault="005D72AE" w:rsidP="005D72AE">
      <w:pPr>
        <w:rPr>
          <w:lang w:val="en-US"/>
        </w:rPr>
      </w:pPr>
      <w:r w:rsidRPr="00844A25">
        <w:rPr>
          <w:lang w:val="en-US"/>
        </w:rPr>
        <w:t>Contractual payables are classified as financial instruments and categorised as financial liabilities at amortised cost. The amounts are unsecured and are usually paid within 30 days of recognition. Statutory payables are recognised and measured similarly to contractual payables, but are not classified as financial instruments and not included in the category of financial liabilities at amortised cost as they do not arise from a contract.</w:t>
      </w:r>
    </w:p>
    <w:p w14:paraId="0F89CCF3" w14:textId="77777777" w:rsidR="005D72AE" w:rsidRPr="00844A25" w:rsidRDefault="005D72AE" w:rsidP="005D72AE">
      <w:pPr>
        <w:pStyle w:val="Heading3"/>
      </w:pPr>
      <w:r w:rsidRPr="00844A25">
        <w:t>6.3. Make Good Provision</w:t>
      </w:r>
    </w:p>
    <w:tbl>
      <w:tblPr>
        <w:tblStyle w:val="PlainTable2"/>
        <w:tblW w:w="9086" w:type="dxa"/>
        <w:tblLayout w:type="fixed"/>
        <w:tblLook w:val="0020" w:firstRow="1" w:lastRow="0" w:firstColumn="0" w:lastColumn="0" w:noHBand="0" w:noVBand="0"/>
      </w:tblPr>
      <w:tblGrid>
        <w:gridCol w:w="6096"/>
        <w:gridCol w:w="1495"/>
        <w:gridCol w:w="1495"/>
      </w:tblGrid>
      <w:tr w:rsidR="005D72AE" w:rsidRPr="00844A25" w14:paraId="03A6CD00" w14:textId="77777777" w:rsidTr="00FA2A1A">
        <w:trPr>
          <w:cnfStyle w:val="100000000000" w:firstRow="1" w:lastRow="0" w:firstColumn="0" w:lastColumn="0" w:oddVBand="0" w:evenVBand="0" w:oddHBand="0" w:evenHBand="0" w:firstRowFirstColumn="0" w:firstRowLastColumn="0" w:lastRowFirstColumn="0" w:lastRowLastColumn="0"/>
          <w:trHeight w:val="238"/>
        </w:trPr>
        <w:tc>
          <w:tcPr>
            <w:cnfStyle w:val="000010000000" w:firstRow="0" w:lastRow="0" w:firstColumn="0" w:lastColumn="0" w:oddVBand="1" w:evenVBand="0" w:oddHBand="0" w:evenHBand="0" w:firstRowFirstColumn="0" w:firstRowLastColumn="0" w:lastRowFirstColumn="0" w:lastRowLastColumn="0"/>
            <w:tcW w:w="6096" w:type="dxa"/>
          </w:tcPr>
          <w:p w14:paraId="348848BD" w14:textId="77777777" w:rsidR="005D72AE" w:rsidRPr="009542CC"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1495" w:type="dxa"/>
          </w:tcPr>
          <w:p w14:paraId="6B5B58EB" w14:textId="77777777" w:rsidR="005D72AE" w:rsidRPr="009542CC" w:rsidRDefault="005D72AE" w:rsidP="00FA2A1A">
            <w:pPr>
              <w:rPr>
                <w:lang w:val="en-US"/>
              </w:rPr>
            </w:pPr>
            <w:r w:rsidRPr="009542CC">
              <w:rPr>
                <w:lang w:val="en-US"/>
              </w:rPr>
              <w:t>2020</w:t>
            </w:r>
          </w:p>
        </w:tc>
        <w:tc>
          <w:tcPr>
            <w:cnfStyle w:val="000010000000" w:firstRow="0" w:lastRow="0" w:firstColumn="0" w:lastColumn="0" w:oddVBand="1" w:evenVBand="0" w:oddHBand="0" w:evenHBand="0" w:firstRowFirstColumn="0" w:firstRowLastColumn="0" w:lastRowFirstColumn="0" w:lastRowLastColumn="0"/>
            <w:tcW w:w="1495" w:type="dxa"/>
          </w:tcPr>
          <w:p w14:paraId="2A6F1C8B" w14:textId="77777777" w:rsidR="005D72AE" w:rsidRPr="009542CC" w:rsidRDefault="005D72AE" w:rsidP="00FA2A1A">
            <w:pPr>
              <w:rPr>
                <w:lang w:val="en-US"/>
              </w:rPr>
            </w:pPr>
            <w:r w:rsidRPr="009542CC">
              <w:rPr>
                <w:lang w:val="en-US"/>
              </w:rPr>
              <w:t>2019</w:t>
            </w:r>
          </w:p>
        </w:tc>
      </w:tr>
      <w:tr w:rsidR="005D72AE" w:rsidRPr="00844A25" w14:paraId="274F693B" w14:textId="77777777" w:rsidTr="00FA2A1A">
        <w:trPr>
          <w:cnfStyle w:val="000000100000" w:firstRow="0" w:lastRow="0" w:firstColumn="0" w:lastColumn="0" w:oddVBand="0" w:evenVBand="0" w:oddHBand="1" w:evenHBand="0" w:firstRowFirstColumn="0" w:firstRowLastColumn="0" w:lastRowFirstColumn="0" w:lastRowLastColumn="0"/>
          <w:trHeight w:val="238"/>
        </w:trPr>
        <w:tc>
          <w:tcPr>
            <w:cnfStyle w:val="000010000000" w:firstRow="0" w:lastRow="0" w:firstColumn="0" w:lastColumn="0" w:oddVBand="1" w:evenVBand="0" w:oddHBand="0" w:evenHBand="0" w:firstRowFirstColumn="0" w:firstRowLastColumn="0" w:lastRowFirstColumn="0" w:lastRowLastColumn="0"/>
            <w:tcW w:w="6096" w:type="dxa"/>
          </w:tcPr>
          <w:p w14:paraId="31133DEF" w14:textId="77777777" w:rsidR="005D72AE" w:rsidRPr="009542CC"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495" w:type="dxa"/>
          </w:tcPr>
          <w:p w14:paraId="4A3BD7DC" w14:textId="77777777" w:rsidR="005D72AE" w:rsidRPr="009542CC" w:rsidRDefault="005D72AE" w:rsidP="00FA2A1A">
            <w:pPr>
              <w:rPr>
                <w:b/>
                <w:bCs/>
                <w:lang w:val="en-US"/>
              </w:rPr>
            </w:pPr>
            <w:r w:rsidRPr="009542CC">
              <w:rPr>
                <w:b/>
                <w:bCs/>
                <w:lang w:val="en-US"/>
              </w:rPr>
              <w:t>$</w:t>
            </w:r>
          </w:p>
        </w:tc>
        <w:tc>
          <w:tcPr>
            <w:cnfStyle w:val="000010000000" w:firstRow="0" w:lastRow="0" w:firstColumn="0" w:lastColumn="0" w:oddVBand="1" w:evenVBand="0" w:oddHBand="0" w:evenHBand="0" w:firstRowFirstColumn="0" w:firstRowLastColumn="0" w:lastRowFirstColumn="0" w:lastRowLastColumn="0"/>
            <w:tcW w:w="1495" w:type="dxa"/>
          </w:tcPr>
          <w:p w14:paraId="74D4EB2F" w14:textId="77777777" w:rsidR="005D72AE" w:rsidRPr="009542CC" w:rsidRDefault="005D72AE" w:rsidP="00FA2A1A">
            <w:pPr>
              <w:rPr>
                <w:b/>
                <w:bCs/>
                <w:lang w:val="en-US"/>
              </w:rPr>
            </w:pPr>
            <w:r w:rsidRPr="009542CC">
              <w:rPr>
                <w:b/>
                <w:bCs/>
                <w:lang w:val="en-US"/>
              </w:rPr>
              <w:t>$</w:t>
            </w:r>
          </w:p>
        </w:tc>
      </w:tr>
      <w:tr w:rsidR="005D72AE" w:rsidRPr="00844A25" w14:paraId="66CD2CC6" w14:textId="77777777" w:rsidTr="00FA2A1A">
        <w:trPr>
          <w:trHeight w:val="238"/>
        </w:trPr>
        <w:tc>
          <w:tcPr>
            <w:cnfStyle w:val="000010000000" w:firstRow="0" w:lastRow="0" w:firstColumn="0" w:lastColumn="0" w:oddVBand="1" w:evenVBand="0" w:oddHBand="0" w:evenHBand="0" w:firstRowFirstColumn="0" w:firstRowLastColumn="0" w:lastRowFirstColumn="0" w:lastRowLastColumn="0"/>
            <w:tcW w:w="6096" w:type="dxa"/>
          </w:tcPr>
          <w:p w14:paraId="2C84B95A" w14:textId="77777777" w:rsidR="005D72AE" w:rsidRPr="009542CC" w:rsidRDefault="005D72AE" w:rsidP="00FA2A1A">
            <w:pPr>
              <w:rPr>
                <w:b/>
                <w:bCs/>
                <w:lang w:val="en-US"/>
              </w:rPr>
            </w:pPr>
            <w:r w:rsidRPr="009542CC">
              <w:rPr>
                <w:b/>
                <w:bCs/>
                <w:lang w:val="en-US"/>
              </w:rPr>
              <w:t>Current:</w:t>
            </w:r>
          </w:p>
        </w:tc>
        <w:tc>
          <w:tcPr>
            <w:cnfStyle w:val="000001000000" w:firstRow="0" w:lastRow="0" w:firstColumn="0" w:lastColumn="0" w:oddVBand="0" w:evenVBand="1" w:oddHBand="0" w:evenHBand="0" w:firstRowFirstColumn="0" w:firstRowLastColumn="0" w:lastRowFirstColumn="0" w:lastRowLastColumn="0"/>
            <w:tcW w:w="1495" w:type="dxa"/>
          </w:tcPr>
          <w:p w14:paraId="7AC77F05"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495" w:type="dxa"/>
          </w:tcPr>
          <w:p w14:paraId="5260CE0A" w14:textId="77777777" w:rsidR="005D72AE" w:rsidRPr="00844A25" w:rsidRDefault="005D72AE" w:rsidP="00FA2A1A">
            <w:pPr>
              <w:rPr>
                <w:lang w:val="en-GB"/>
              </w:rPr>
            </w:pPr>
          </w:p>
        </w:tc>
      </w:tr>
      <w:tr w:rsidR="005D72AE" w:rsidRPr="00844A25" w14:paraId="30F37633" w14:textId="77777777" w:rsidTr="00FA2A1A">
        <w:trPr>
          <w:cnfStyle w:val="000000100000" w:firstRow="0" w:lastRow="0" w:firstColumn="0" w:lastColumn="0" w:oddVBand="0" w:evenVBand="0" w:oddHBand="1" w:evenHBand="0" w:firstRowFirstColumn="0" w:firstRowLastColumn="0" w:lastRowFirstColumn="0" w:lastRowLastColumn="0"/>
          <w:trHeight w:val="253"/>
        </w:trPr>
        <w:tc>
          <w:tcPr>
            <w:cnfStyle w:val="000010000000" w:firstRow="0" w:lastRow="0" w:firstColumn="0" w:lastColumn="0" w:oddVBand="1" w:evenVBand="0" w:oddHBand="0" w:evenHBand="0" w:firstRowFirstColumn="0" w:firstRowLastColumn="0" w:lastRowFirstColumn="0" w:lastRowLastColumn="0"/>
            <w:tcW w:w="6096" w:type="dxa"/>
          </w:tcPr>
          <w:p w14:paraId="683B8B48" w14:textId="77777777" w:rsidR="005D72AE" w:rsidRPr="00844A25" w:rsidRDefault="005D72AE" w:rsidP="00FA2A1A">
            <w:pPr>
              <w:rPr>
                <w:lang w:val="en-US"/>
              </w:rPr>
            </w:pPr>
            <w:r w:rsidRPr="00844A25">
              <w:rPr>
                <w:lang w:val="en-US"/>
              </w:rPr>
              <w:t>Make Good Provision</w:t>
            </w:r>
          </w:p>
        </w:tc>
        <w:tc>
          <w:tcPr>
            <w:cnfStyle w:val="000001000000" w:firstRow="0" w:lastRow="0" w:firstColumn="0" w:lastColumn="0" w:oddVBand="0" w:evenVBand="1" w:oddHBand="0" w:evenHBand="0" w:firstRowFirstColumn="0" w:firstRowLastColumn="0" w:lastRowFirstColumn="0" w:lastRowLastColumn="0"/>
            <w:tcW w:w="1495" w:type="dxa"/>
          </w:tcPr>
          <w:p w14:paraId="4F5B43D0" w14:textId="77777777" w:rsidR="005D72AE" w:rsidRPr="00844A25" w:rsidRDefault="005D72AE" w:rsidP="00FA2A1A">
            <w:pPr>
              <w:rPr>
                <w:lang w:val="en-US"/>
              </w:rPr>
            </w:pPr>
            <w:r w:rsidRPr="00844A25">
              <w:rPr>
                <w:lang w:val="en-US"/>
              </w:rPr>
              <w:t>131,061</w:t>
            </w:r>
          </w:p>
        </w:tc>
        <w:tc>
          <w:tcPr>
            <w:cnfStyle w:val="000010000000" w:firstRow="0" w:lastRow="0" w:firstColumn="0" w:lastColumn="0" w:oddVBand="1" w:evenVBand="0" w:oddHBand="0" w:evenHBand="0" w:firstRowFirstColumn="0" w:firstRowLastColumn="0" w:lastRowFirstColumn="0" w:lastRowLastColumn="0"/>
            <w:tcW w:w="1495" w:type="dxa"/>
          </w:tcPr>
          <w:p w14:paraId="7B4569A9" w14:textId="77777777" w:rsidR="005D72AE" w:rsidRPr="00844A25" w:rsidRDefault="005D72AE" w:rsidP="00FA2A1A">
            <w:pPr>
              <w:rPr>
                <w:lang w:val="en-US"/>
              </w:rPr>
            </w:pPr>
            <w:r w:rsidRPr="00844A25">
              <w:rPr>
                <w:lang w:val="en-US"/>
              </w:rPr>
              <w:t>106,470</w:t>
            </w:r>
          </w:p>
        </w:tc>
      </w:tr>
      <w:tr w:rsidR="005D72AE" w:rsidRPr="00844A25" w14:paraId="7370B700" w14:textId="77777777" w:rsidTr="00FA2A1A">
        <w:trPr>
          <w:trHeight w:val="307"/>
        </w:trPr>
        <w:tc>
          <w:tcPr>
            <w:cnfStyle w:val="000010000000" w:firstRow="0" w:lastRow="0" w:firstColumn="0" w:lastColumn="0" w:oddVBand="1" w:evenVBand="0" w:oddHBand="0" w:evenHBand="0" w:firstRowFirstColumn="0" w:firstRowLastColumn="0" w:lastRowFirstColumn="0" w:lastRowLastColumn="0"/>
            <w:tcW w:w="6096" w:type="dxa"/>
          </w:tcPr>
          <w:p w14:paraId="070A5B79" w14:textId="77777777" w:rsidR="005D72AE" w:rsidRPr="009542CC"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495" w:type="dxa"/>
          </w:tcPr>
          <w:p w14:paraId="3363D560" w14:textId="77777777" w:rsidR="005D72AE" w:rsidRPr="009542CC" w:rsidRDefault="005D72AE" w:rsidP="00FA2A1A">
            <w:pPr>
              <w:rPr>
                <w:b/>
                <w:bCs/>
                <w:lang w:val="en-US"/>
              </w:rPr>
            </w:pPr>
            <w:r w:rsidRPr="009542CC">
              <w:rPr>
                <w:b/>
                <w:bCs/>
                <w:lang w:val="en-US"/>
              </w:rPr>
              <w:t>131,061</w:t>
            </w:r>
          </w:p>
        </w:tc>
        <w:tc>
          <w:tcPr>
            <w:cnfStyle w:val="000010000000" w:firstRow="0" w:lastRow="0" w:firstColumn="0" w:lastColumn="0" w:oddVBand="1" w:evenVBand="0" w:oddHBand="0" w:evenHBand="0" w:firstRowFirstColumn="0" w:firstRowLastColumn="0" w:lastRowFirstColumn="0" w:lastRowLastColumn="0"/>
            <w:tcW w:w="1495" w:type="dxa"/>
          </w:tcPr>
          <w:p w14:paraId="17FD81FE" w14:textId="77777777" w:rsidR="005D72AE" w:rsidRPr="009542CC" w:rsidRDefault="005D72AE" w:rsidP="00FA2A1A">
            <w:pPr>
              <w:rPr>
                <w:b/>
                <w:bCs/>
                <w:lang w:val="en-US"/>
              </w:rPr>
            </w:pPr>
            <w:r w:rsidRPr="009542CC">
              <w:rPr>
                <w:b/>
                <w:bCs/>
                <w:lang w:val="en-US"/>
              </w:rPr>
              <w:t>106,470</w:t>
            </w:r>
          </w:p>
        </w:tc>
      </w:tr>
    </w:tbl>
    <w:p w14:paraId="46297103" w14:textId="77777777" w:rsidR="005D72AE" w:rsidRPr="00844A25" w:rsidRDefault="005D72AE" w:rsidP="005D72AE">
      <w:pPr>
        <w:rPr>
          <w:lang w:val="en-US"/>
        </w:rPr>
      </w:pPr>
      <w:r w:rsidRPr="00844A25">
        <w:rPr>
          <w:lang w:val="en-US"/>
        </w:rPr>
        <w:t>The make good provision is recognised in accordance with the agreement over the leased premise.</w:t>
      </w:r>
      <w:r>
        <w:rPr>
          <w:lang w:val="en-US"/>
        </w:rPr>
        <w:t xml:space="preserve"> </w:t>
      </w:r>
      <w:r w:rsidRPr="00844A25">
        <w:rPr>
          <w:lang w:val="en-US"/>
        </w:rPr>
        <w:t>The commission is required to remove any leasehold improvements from the lease premise and restore</w:t>
      </w:r>
      <w:r>
        <w:rPr>
          <w:lang w:val="en-US"/>
        </w:rPr>
        <w:t xml:space="preserve"> </w:t>
      </w:r>
      <w:r w:rsidRPr="00844A25">
        <w:rPr>
          <w:lang w:val="en-US"/>
        </w:rPr>
        <w:t>the premise to its original condition at the end of the lease term.</w:t>
      </w:r>
    </w:p>
    <w:p w14:paraId="3EE15D3A" w14:textId="77777777" w:rsidR="005D72AE" w:rsidRPr="00844A25" w:rsidRDefault="005D72AE" w:rsidP="005D72AE">
      <w:pPr>
        <w:rPr>
          <w:lang w:val="en-US"/>
        </w:rPr>
      </w:pPr>
      <w:r w:rsidRPr="00844A25">
        <w:rPr>
          <w:lang w:val="en-US"/>
        </w:rPr>
        <w:t>6.4. Unearned income</w:t>
      </w:r>
    </w:p>
    <w:tbl>
      <w:tblPr>
        <w:tblStyle w:val="PlainTable2"/>
        <w:tblW w:w="0" w:type="auto"/>
        <w:tblInd w:w="-5" w:type="dxa"/>
        <w:tblLayout w:type="fixed"/>
        <w:tblLook w:val="0020" w:firstRow="1" w:lastRow="0" w:firstColumn="0" w:lastColumn="0" w:noHBand="0" w:noVBand="0"/>
      </w:tblPr>
      <w:tblGrid>
        <w:gridCol w:w="6010"/>
        <w:gridCol w:w="1474"/>
        <w:gridCol w:w="1474"/>
      </w:tblGrid>
      <w:tr w:rsidR="005D72AE" w:rsidRPr="00844A25" w14:paraId="49E2803D" w14:textId="77777777" w:rsidTr="00FA2A1A">
        <w:trPr>
          <w:cnfStyle w:val="100000000000" w:firstRow="1" w:lastRow="0" w:firstColumn="0" w:lastColumn="0" w:oddVBand="0" w:evenVBand="0" w:oddHBand="0" w:evenHBand="0" w:firstRowFirstColumn="0" w:firstRowLastColumn="0" w:lastRowFirstColumn="0" w:lastRowLastColumn="0"/>
          <w:trHeight w:val="244"/>
        </w:trPr>
        <w:tc>
          <w:tcPr>
            <w:cnfStyle w:val="000010000000" w:firstRow="0" w:lastRow="0" w:firstColumn="0" w:lastColumn="0" w:oddVBand="1" w:evenVBand="0" w:oddHBand="0" w:evenHBand="0" w:firstRowFirstColumn="0" w:firstRowLastColumn="0" w:lastRowFirstColumn="0" w:lastRowLastColumn="0"/>
            <w:tcW w:w="6010" w:type="dxa"/>
          </w:tcPr>
          <w:p w14:paraId="66C24B71" w14:textId="77777777" w:rsidR="005D72AE" w:rsidRPr="009542CC"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1474" w:type="dxa"/>
          </w:tcPr>
          <w:p w14:paraId="46D511EE" w14:textId="77777777" w:rsidR="005D72AE" w:rsidRPr="009542CC" w:rsidRDefault="005D72AE" w:rsidP="00FA2A1A">
            <w:pPr>
              <w:rPr>
                <w:lang w:val="en-US"/>
              </w:rPr>
            </w:pPr>
            <w:r w:rsidRPr="009542CC">
              <w:rPr>
                <w:lang w:val="en-US"/>
              </w:rPr>
              <w:t>2020</w:t>
            </w:r>
          </w:p>
        </w:tc>
        <w:tc>
          <w:tcPr>
            <w:cnfStyle w:val="000010000000" w:firstRow="0" w:lastRow="0" w:firstColumn="0" w:lastColumn="0" w:oddVBand="1" w:evenVBand="0" w:oddHBand="0" w:evenHBand="0" w:firstRowFirstColumn="0" w:firstRowLastColumn="0" w:lastRowFirstColumn="0" w:lastRowLastColumn="0"/>
            <w:tcW w:w="1474" w:type="dxa"/>
          </w:tcPr>
          <w:p w14:paraId="771DB62B" w14:textId="77777777" w:rsidR="005D72AE" w:rsidRPr="009542CC" w:rsidRDefault="005D72AE" w:rsidP="00FA2A1A">
            <w:pPr>
              <w:rPr>
                <w:lang w:val="en-US"/>
              </w:rPr>
            </w:pPr>
            <w:r w:rsidRPr="009542CC">
              <w:rPr>
                <w:lang w:val="en-US"/>
              </w:rPr>
              <w:t>2019</w:t>
            </w:r>
          </w:p>
        </w:tc>
      </w:tr>
      <w:tr w:rsidR="005D72AE" w:rsidRPr="00844A25" w14:paraId="66A6F27C" w14:textId="77777777" w:rsidTr="00FA2A1A">
        <w:trPr>
          <w:cnfStyle w:val="000000100000" w:firstRow="0" w:lastRow="0" w:firstColumn="0" w:lastColumn="0" w:oddVBand="0" w:evenVBand="0" w:oddHBand="1" w:evenHBand="0" w:firstRowFirstColumn="0" w:firstRowLastColumn="0" w:lastRowFirstColumn="0" w:lastRowLastColumn="0"/>
          <w:trHeight w:val="244"/>
        </w:trPr>
        <w:tc>
          <w:tcPr>
            <w:cnfStyle w:val="000010000000" w:firstRow="0" w:lastRow="0" w:firstColumn="0" w:lastColumn="0" w:oddVBand="1" w:evenVBand="0" w:oddHBand="0" w:evenHBand="0" w:firstRowFirstColumn="0" w:firstRowLastColumn="0" w:lastRowFirstColumn="0" w:lastRowLastColumn="0"/>
            <w:tcW w:w="6010" w:type="dxa"/>
          </w:tcPr>
          <w:p w14:paraId="115E7E4D" w14:textId="77777777" w:rsidR="005D72AE" w:rsidRPr="009542CC"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474" w:type="dxa"/>
          </w:tcPr>
          <w:p w14:paraId="71201727" w14:textId="77777777" w:rsidR="005D72AE" w:rsidRPr="009542CC" w:rsidRDefault="005D72AE" w:rsidP="00FA2A1A">
            <w:pPr>
              <w:rPr>
                <w:b/>
                <w:bCs/>
                <w:lang w:val="en-US"/>
              </w:rPr>
            </w:pPr>
            <w:r w:rsidRPr="009542CC">
              <w:rPr>
                <w:b/>
                <w:bCs/>
                <w:lang w:val="en-US"/>
              </w:rPr>
              <w:t>$</w:t>
            </w:r>
          </w:p>
        </w:tc>
        <w:tc>
          <w:tcPr>
            <w:cnfStyle w:val="000010000000" w:firstRow="0" w:lastRow="0" w:firstColumn="0" w:lastColumn="0" w:oddVBand="1" w:evenVBand="0" w:oddHBand="0" w:evenHBand="0" w:firstRowFirstColumn="0" w:firstRowLastColumn="0" w:lastRowFirstColumn="0" w:lastRowLastColumn="0"/>
            <w:tcW w:w="1474" w:type="dxa"/>
          </w:tcPr>
          <w:p w14:paraId="7725226F" w14:textId="77777777" w:rsidR="005D72AE" w:rsidRPr="009542CC" w:rsidRDefault="005D72AE" w:rsidP="00FA2A1A">
            <w:pPr>
              <w:rPr>
                <w:b/>
                <w:bCs/>
                <w:lang w:val="en-US"/>
              </w:rPr>
            </w:pPr>
            <w:r w:rsidRPr="009542CC">
              <w:rPr>
                <w:b/>
                <w:bCs/>
                <w:lang w:val="en-US"/>
              </w:rPr>
              <w:t>$</w:t>
            </w:r>
          </w:p>
        </w:tc>
      </w:tr>
      <w:tr w:rsidR="005D72AE" w:rsidRPr="00844A25" w14:paraId="25BE5EAC" w14:textId="77777777" w:rsidTr="00FA2A1A">
        <w:trPr>
          <w:trHeight w:val="244"/>
        </w:trPr>
        <w:tc>
          <w:tcPr>
            <w:cnfStyle w:val="000010000000" w:firstRow="0" w:lastRow="0" w:firstColumn="0" w:lastColumn="0" w:oddVBand="1" w:evenVBand="0" w:oddHBand="0" w:evenHBand="0" w:firstRowFirstColumn="0" w:firstRowLastColumn="0" w:lastRowFirstColumn="0" w:lastRowLastColumn="0"/>
            <w:tcW w:w="6010" w:type="dxa"/>
          </w:tcPr>
          <w:p w14:paraId="2DB16A1F" w14:textId="77777777" w:rsidR="005D72AE" w:rsidRPr="009542CC" w:rsidRDefault="005D72AE" w:rsidP="00FA2A1A">
            <w:pPr>
              <w:rPr>
                <w:b/>
                <w:bCs/>
                <w:lang w:val="en-US"/>
              </w:rPr>
            </w:pPr>
            <w:r w:rsidRPr="009542CC">
              <w:rPr>
                <w:b/>
                <w:bCs/>
                <w:lang w:val="en-US"/>
              </w:rPr>
              <w:t>Current:</w:t>
            </w:r>
          </w:p>
        </w:tc>
        <w:tc>
          <w:tcPr>
            <w:cnfStyle w:val="000001000000" w:firstRow="0" w:lastRow="0" w:firstColumn="0" w:lastColumn="0" w:oddVBand="0" w:evenVBand="1" w:oddHBand="0" w:evenHBand="0" w:firstRowFirstColumn="0" w:firstRowLastColumn="0" w:lastRowFirstColumn="0" w:lastRowLastColumn="0"/>
            <w:tcW w:w="1474" w:type="dxa"/>
          </w:tcPr>
          <w:p w14:paraId="0A40F065" w14:textId="77777777" w:rsidR="005D72AE" w:rsidRPr="009542CC"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1474" w:type="dxa"/>
          </w:tcPr>
          <w:p w14:paraId="785310F4" w14:textId="77777777" w:rsidR="005D72AE" w:rsidRPr="009542CC" w:rsidRDefault="005D72AE" w:rsidP="00FA2A1A">
            <w:pPr>
              <w:rPr>
                <w:b/>
                <w:bCs/>
                <w:lang w:val="en-GB"/>
              </w:rPr>
            </w:pPr>
          </w:p>
        </w:tc>
      </w:tr>
      <w:tr w:rsidR="005D72AE" w:rsidRPr="00844A25" w14:paraId="171881C0" w14:textId="77777777" w:rsidTr="00FA2A1A">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6010" w:type="dxa"/>
          </w:tcPr>
          <w:p w14:paraId="1342B40B" w14:textId="77777777" w:rsidR="005D72AE" w:rsidRPr="00844A25" w:rsidRDefault="005D72AE" w:rsidP="00FA2A1A">
            <w:pPr>
              <w:rPr>
                <w:lang w:val="en-US"/>
              </w:rPr>
            </w:pPr>
            <w:r w:rsidRPr="00844A25">
              <w:rPr>
                <w:lang w:val="en-US"/>
              </w:rPr>
              <w:t>Grants received in advance</w:t>
            </w:r>
          </w:p>
        </w:tc>
        <w:tc>
          <w:tcPr>
            <w:cnfStyle w:val="000001000000" w:firstRow="0" w:lastRow="0" w:firstColumn="0" w:lastColumn="0" w:oddVBand="0" w:evenVBand="1" w:oddHBand="0" w:evenHBand="0" w:firstRowFirstColumn="0" w:firstRowLastColumn="0" w:lastRowFirstColumn="0" w:lastRowLastColumn="0"/>
            <w:tcW w:w="1474" w:type="dxa"/>
          </w:tcPr>
          <w:p w14:paraId="0101CF62" w14:textId="77777777" w:rsidR="005D72AE" w:rsidRPr="00844A25" w:rsidRDefault="005D72AE" w:rsidP="00FA2A1A">
            <w:pPr>
              <w:rPr>
                <w:lang w:val="en-US"/>
              </w:rPr>
            </w:pPr>
            <w:r w:rsidRPr="00844A25">
              <w:rPr>
                <w:lang w:val="en-US"/>
              </w:rPr>
              <w:t>842,876</w:t>
            </w:r>
          </w:p>
        </w:tc>
        <w:tc>
          <w:tcPr>
            <w:cnfStyle w:val="000010000000" w:firstRow="0" w:lastRow="0" w:firstColumn="0" w:lastColumn="0" w:oddVBand="1" w:evenVBand="0" w:oddHBand="0" w:evenHBand="0" w:firstRowFirstColumn="0" w:firstRowLastColumn="0" w:lastRowFirstColumn="0" w:lastRowLastColumn="0"/>
            <w:tcW w:w="1474" w:type="dxa"/>
          </w:tcPr>
          <w:p w14:paraId="3D7D9DB8" w14:textId="77777777" w:rsidR="005D72AE" w:rsidRPr="00844A25" w:rsidRDefault="005D72AE" w:rsidP="00FA2A1A">
            <w:pPr>
              <w:rPr>
                <w:lang w:val="en-US"/>
              </w:rPr>
            </w:pPr>
            <w:r w:rsidRPr="00844A25">
              <w:rPr>
                <w:lang w:val="en-US"/>
              </w:rPr>
              <w:t>-</w:t>
            </w:r>
          </w:p>
        </w:tc>
      </w:tr>
      <w:tr w:rsidR="005D72AE" w:rsidRPr="00844A25" w14:paraId="6BC92D00" w14:textId="77777777" w:rsidTr="00FA2A1A">
        <w:trPr>
          <w:trHeight w:val="314"/>
        </w:trPr>
        <w:tc>
          <w:tcPr>
            <w:cnfStyle w:val="000010000000" w:firstRow="0" w:lastRow="0" w:firstColumn="0" w:lastColumn="0" w:oddVBand="1" w:evenVBand="0" w:oddHBand="0" w:evenHBand="0" w:firstRowFirstColumn="0" w:firstRowLastColumn="0" w:lastRowFirstColumn="0" w:lastRowLastColumn="0"/>
            <w:tcW w:w="6010" w:type="dxa"/>
          </w:tcPr>
          <w:p w14:paraId="223662E4" w14:textId="77777777" w:rsidR="005D72AE" w:rsidRPr="009542CC"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474" w:type="dxa"/>
          </w:tcPr>
          <w:p w14:paraId="1B7C8AE3" w14:textId="77777777" w:rsidR="005D72AE" w:rsidRPr="009542CC" w:rsidRDefault="005D72AE" w:rsidP="00FA2A1A">
            <w:pPr>
              <w:rPr>
                <w:b/>
                <w:bCs/>
                <w:lang w:val="en-US"/>
              </w:rPr>
            </w:pPr>
            <w:r w:rsidRPr="009542CC">
              <w:rPr>
                <w:b/>
                <w:bCs/>
                <w:lang w:val="en-US"/>
              </w:rPr>
              <w:t>842,876</w:t>
            </w:r>
          </w:p>
        </w:tc>
        <w:tc>
          <w:tcPr>
            <w:cnfStyle w:val="000010000000" w:firstRow="0" w:lastRow="0" w:firstColumn="0" w:lastColumn="0" w:oddVBand="1" w:evenVBand="0" w:oddHBand="0" w:evenHBand="0" w:firstRowFirstColumn="0" w:firstRowLastColumn="0" w:lastRowFirstColumn="0" w:lastRowLastColumn="0"/>
            <w:tcW w:w="1474" w:type="dxa"/>
          </w:tcPr>
          <w:p w14:paraId="13E8F9F0" w14:textId="77777777" w:rsidR="005D72AE" w:rsidRPr="009542CC" w:rsidRDefault="005D72AE" w:rsidP="00FA2A1A">
            <w:pPr>
              <w:rPr>
                <w:b/>
                <w:bCs/>
                <w:lang w:val="en-US"/>
              </w:rPr>
            </w:pPr>
            <w:r w:rsidRPr="009542CC">
              <w:rPr>
                <w:b/>
                <w:bCs/>
                <w:lang w:val="en-US"/>
              </w:rPr>
              <w:t>-</w:t>
            </w:r>
          </w:p>
        </w:tc>
      </w:tr>
    </w:tbl>
    <w:p w14:paraId="1FD03769" w14:textId="77777777" w:rsidR="005D72AE" w:rsidRPr="00844A25" w:rsidRDefault="005D72AE" w:rsidP="005D72AE">
      <w:pPr>
        <w:rPr>
          <w:lang w:val="en-US"/>
        </w:rPr>
      </w:pPr>
      <w:r w:rsidRPr="00844A25">
        <w:rPr>
          <w:lang w:val="en-US"/>
        </w:rPr>
        <w:t>Unearned income relates mainly to grants received in advance by the commission.</w:t>
      </w:r>
    </w:p>
    <w:p w14:paraId="11EA8BE4" w14:textId="77777777" w:rsidR="005D72AE" w:rsidRDefault="005D72AE" w:rsidP="005D72AE">
      <w:pPr>
        <w:pStyle w:val="Heading2"/>
        <w:pageBreakBefore/>
      </w:pPr>
      <w:bookmarkStart w:id="19" w:name="_Toc58869009"/>
      <w:r w:rsidRPr="00844A25">
        <w:lastRenderedPageBreak/>
        <w:t>Note 7. Financing our operations</w:t>
      </w:r>
      <w:bookmarkEnd w:id="19"/>
    </w:p>
    <w:p w14:paraId="6E056E03" w14:textId="77777777" w:rsidR="005D72AE" w:rsidRPr="00844A25" w:rsidRDefault="005D72AE" w:rsidP="005D72AE">
      <w:pPr>
        <w:rPr>
          <w:lang w:val="en-US"/>
        </w:rPr>
      </w:pPr>
      <w:r w:rsidRPr="00844A25">
        <w:rPr>
          <w:lang w:val="en-US"/>
        </w:rPr>
        <w:t>This section provides information on the sources of finance utilised by the commission during its operations, along with interest expenses (the cost of borrowings) and other information related to financing activities of the commission.</w:t>
      </w:r>
    </w:p>
    <w:p w14:paraId="615A4E2B" w14:textId="77777777" w:rsidR="005D72AE" w:rsidRDefault="005D72AE" w:rsidP="005D72AE">
      <w:pPr>
        <w:rPr>
          <w:lang w:val="en-US"/>
        </w:rPr>
      </w:pPr>
      <w:r w:rsidRPr="00844A25">
        <w:rPr>
          <w:lang w:val="en-US"/>
        </w:rPr>
        <w:t>This section includes disclosures of balances that are financial instruments (such as borrowings and cash balances).</w:t>
      </w:r>
    </w:p>
    <w:p w14:paraId="6075A2CF" w14:textId="77777777" w:rsidR="005D72AE" w:rsidRPr="00844A25" w:rsidRDefault="005D72AE" w:rsidP="005D72AE">
      <w:pPr>
        <w:rPr>
          <w:lang w:val="en-US"/>
        </w:rPr>
      </w:pPr>
      <w:r w:rsidRPr="00844A25">
        <w:rPr>
          <w:lang w:val="en-US"/>
        </w:rPr>
        <w:t>7.1. Reconciliation of net result to cash flow</w:t>
      </w:r>
      <w:r>
        <w:rPr>
          <w:lang w:val="en-US"/>
        </w:rPr>
        <w:t xml:space="preserve"> </w:t>
      </w:r>
      <w:r w:rsidRPr="00844A25">
        <w:rPr>
          <w:lang w:val="en-US"/>
        </w:rPr>
        <w:t>from operating activities</w:t>
      </w:r>
    </w:p>
    <w:p w14:paraId="1BF3BB37" w14:textId="77777777" w:rsidR="005D72AE" w:rsidRPr="00A9135C" w:rsidRDefault="005D72AE" w:rsidP="005D72AE">
      <w:pPr>
        <w:rPr>
          <w:lang w:val="en-US"/>
        </w:rPr>
      </w:pPr>
      <w:r w:rsidRPr="00844A25">
        <w:rPr>
          <w:lang w:val="en-US"/>
        </w:rPr>
        <w:t>7.2. Commitments for expenditure</w:t>
      </w:r>
    </w:p>
    <w:p w14:paraId="7061E28D" w14:textId="77777777" w:rsidR="005D72AE" w:rsidRPr="00844A25" w:rsidRDefault="005D72AE" w:rsidP="005D72AE">
      <w:pPr>
        <w:pStyle w:val="Heading3"/>
      </w:pPr>
      <w:r w:rsidRPr="00844A25">
        <w:t>7.1. Reconciliation of net result to cash flow from operating activities</w:t>
      </w:r>
    </w:p>
    <w:tbl>
      <w:tblPr>
        <w:tblStyle w:val="PlainTable2"/>
        <w:tblW w:w="9095" w:type="dxa"/>
        <w:tblLayout w:type="fixed"/>
        <w:tblLook w:val="0000" w:firstRow="0" w:lastRow="0" w:firstColumn="0" w:lastColumn="0" w:noHBand="0" w:noVBand="0"/>
      </w:tblPr>
      <w:tblGrid>
        <w:gridCol w:w="5949"/>
        <w:gridCol w:w="1559"/>
        <w:gridCol w:w="1587"/>
      </w:tblGrid>
      <w:tr w:rsidR="005D72AE" w:rsidRPr="00844A25" w14:paraId="18D2E334" w14:textId="77777777" w:rsidTr="00FA2A1A">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5949" w:type="dxa"/>
          </w:tcPr>
          <w:p w14:paraId="763D368D" w14:textId="77777777" w:rsidR="005D72AE" w:rsidRPr="00447CEE"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2562BED4" w14:textId="77777777" w:rsidR="005D72AE" w:rsidRPr="00447CEE" w:rsidRDefault="005D72AE" w:rsidP="00FA2A1A">
            <w:pPr>
              <w:rPr>
                <w:b/>
                <w:bCs/>
                <w:lang w:val="en-US"/>
              </w:rPr>
            </w:pPr>
            <w:r w:rsidRPr="00447CEE">
              <w:rPr>
                <w:b/>
                <w:bCs/>
                <w:lang w:val="en-US"/>
              </w:rPr>
              <w:t>2020</w:t>
            </w:r>
          </w:p>
        </w:tc>
        <w:tc>
          <w:tcPr>
            <w:cnfStyle w:val="000010000000" w:firstRow="0" w:lastRow="0" w:firstColumn="0" w:lastColumn="0" w:oddVBand="1" w:evenVBand="0" w:oddHBand="0" w:evenHBand="0" w:firstRowFirstColumn="0" w:firstRowLastColumn="0" w:lastRowFirstColumn="0" w:lastRowLastColumn="0"/>
            <w:tcW w:w="1587" w:type="dxa"/>
          </w:tcPr>
          <w:p w14:paraId="583F8B61" w14:textId="77777777" w:rsidR="005D72AE" w:rsidRPr="00447CEE" w:rsidRDefault="005D72AE" w:rsidP="00FA2A1A">
            <w:pPr>
              <w:rPr>
                <w:b/>
                <w:bCs/>
                <w:lang w:val="en-US"/>
              </w:rPr>
            </w:pPr>
            <w:r w:rsidRPr="00447CEE">
              <w:rPr>
                <w:b/>
                <w:bCs/>
                <w:lang w:val="en-US"/>
              </w:rPr>
              <w:t>2019</w:t>
            </w:r>
          </w:p>
        </w:tc>
      </w:tr>
      <w:tr w:rsidR="005D72AE" w:rsidRPr="00844A25" w14:paraId="4D618B8F" w14:textId="77777777" w:rsidTr="00FA2A1A">
        <w:trPr>
          <w:trHeight w:val="283"/>
        </w:trPr>
        <w:tc>
          <w:tcPr>
            <w:cnfStyle w:val="000010000000" w:firstRow="0" w:lastRow="0" w:firstColumn="0" w:lastColumn="0" w:oddVBand="1" w:evenVBand="0" w:oddHBand="0" w:evenHBand="0" w:firstRowFirstColumn="0" w:firstRowLastColumn="0" w:lastRowFirstColumn="0" w:lastRowLastColumn="0"/>
            <w:tcW w:w="5949" w:type="dxa"/>
          </w:tcPr>
          <w:p w14:paraId="6D6308FF" w14:textId="77777777" w:rsidR="005D72AE" w:rsidRPr="00447CEE"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0B5D06F1" w14:textId="77777777" w:rsidR="005D72AE" w:rsidRPr="00447CEE" w:rsidRDefault="005D72AE" w:rsidP="00FA2A1A">
            <w:pPr>
              <w:rPr>
                <w:b/>
                <w:bCs/>
                <w:lang w:val="en-US"/>
              </w:rPr>
            </w:pPr>
            <w:r w:rsidRPr="00447CEE">
              <w:rPr>
                <w:b/>
                <w:bCs/>
                <w:lang w:val="en-US"/>
              </w:rPr>
              <w:t>$</w:t>
            </w:r>
          </w:p>
        </w:tc>
        <w:tc>
          <w:tcPr>
            <w:cnfStyle w:val="000010000000" w:firstRow="0" w:lastRow="0" w:firstColumn="0" w:lastColumn="0" w:oddVBand="1" w:evenVBand="0" w:oddHBand="0" w:evenHBand="0" w:firstRowFirstColumn="0" w:firstRowLastColumn="0" w:lastRowFirstColumn="0" w:lastRowLastColumn="0"/>
            <w:tcW w:w="1587" w:type="dxa"/>
          </w:tcPr>
          <w:p w14:paraId="0ADFF909" w14:textId="77777777" w:rsidR="005D72AE" w:rsidRPr="00447CEE" w:rsidRDefault="005D72AE" w:rsidP="00FA2A1A">
            <w:pPr>
              <w:rPr>
                <w:b/>
                <w:bCs/>
                <w:lang w:val="en-US"/>
              </w:rPr>
            </w:pPr>
            <w:r w:rsidRPr="00447CEE">
              <w:rPr>
                <w:b/>
                <w:bCs/>
                <w:lang w:val="en-US"/>
              </w:rPr>
              <w:t>$</w:t>
            </w:r>
          </w:p>
        </w:tc>
      </w:tr>
      <w:tr w:rsidR="005D72AE" w:rsidRPr="00844A25" w14:paraId="6BD149F8" w14:textId="77777777" w:rsidTr="00FA2A1A">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5949" w:type="dxa"/>
          </w:tcPr>
          <w:p w14:paraId="3233DD1E" w14:textId="77777777" w:rsidR="005D72AE" w:rsidRPr="00844A25" w:rsidRDefault="005D72AE" w:rsidP="00FA2A1A">
            <w:pPr>
              <w:rPr>
                <w:lang w:val="en-US"/>
              </w:rPr>
            </w:pPr>
            <w:r w:rsidRPr="00844A25">
              <w:rPr>
                <w:lang w:val="en-US"/>
              </w:rPr>
              <w:t xml:space="preserve">Net result </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0AB69E85" w14:textId="77777777" w:rsidR="005D72AE" w:rsidRPr="00844A25" w:rsidRDefault="005D72AE" w:rsidP="00FA2A1A">
            <w:pPr>
              <w:rPr>
                <w:lang w:val="en-US"/>
              </w:rPr>
            </w:pPr>
            <w:r w:rsidRPr="00844A25">
              <w:rPr>
                <w:lang w:val="en-US"/>
              </w:rPr>
              <w:t>149,263</w:t>
            </w:r>
          </w:p>
        </w:tc>
        <w:tc>
          <w:tcPr>
            <w:cnfStyle w:val="000010000000" w:firstRow="0" w:lastRow="0" w:firstColumn="0" w:lastColumn="0" w:oddVBand="1" w:evenVBand="0" w:oddHBand="0" w:evenHBand="0" w:firstRowFirstColumn="0" w:firstRowLastColumn="0" w:lastRowFirstColumn="0" w:lastRowLastColumn="0"/>
            <w:tcW w:w="1587" w:type="dxa"/>
          </w:tcPr>
          <w:p w14:paraId="1AEC06E5" w14:textId="77777777" w:rsidR="005D72AE" w:rsidRPr="00844A25" w:rsidRDefault="005D72AE" w:rsidP="00FA2A1A">
            <w:pPr>
              <w:rPr>
                <w:lang w:val="en-US"/>
              </w:rPr>
            </w:pPr>
            <w:r w:rsidRPr="00844A25">
              <w:rPr>
                <w:lang w:val="en-US"/>
              </w:rPr>
              <w:t>1,660,295</w:t>
            </w:r>
          </w:p>
        </w:tc>
      </w:tr>
      <w:tr w:rsidR="005D72AE" w:rsidRPr="00844A25" w14:paraId="000D86F5" w14:textId="77777777" w:rsidTr="00FA2A1A">
        <w:trPr>
          <w:trHeight w:val="283"/>
        </w:trPr>
        <w:tc>
          <w:tcPr>
            <w:cnfStyle w:val="000010000000" w:firstRow="0" w:lastRow="0" w:firstColumn="0" w:lastColumn="0" w:oddVBand="1" w:evenVBand="0" w:oddHBand="0" w:evenHBand="0" w:firstRowFirstColumn="0" w:firstRowLastColumn="0" w:lastRowFirstColumn="0" w:lastRowLastColumn="0"/>
            <w:tcW w:w="5949" w:type="dxa"/>
          </w:tcPr>
          <w:p w14:paraId="570F9392" w14:textId="77777777" w:rsidR="005D72AE" w:rsidRPr="005D375E" w:rsidRDefault="005D72AE" w:rsidP="00FA2A1A">
            <w:pPr>
              <w:rPr>
                <w:b/>
                <w:bCs/>
                <w:lang w:val="en-US"/>
              </w:rPr>
            </w:pPr>
            <w:r w:rsidRPr="005D375E">
              <w:rPr>
                <w:b/>
                <w:bCs/>
                <w:lang w:val="en-US"/>
              </w:rPr>
              <w:t>Non-cash movements</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0B9D3836" w14:textId="77777777" w:rsidR="005D72AE" w:rsidRPr="005D375E"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1587" w:type="dxa"/>
          </w:tcPr>
          <w:p w14:paraId="29821FDF" w14:textId="77777777" w:rsidR="005D72AE" w:rsidRPr="005D375E" w:rsidRDefault="005D72AE" w:rsidP="00FA2A1A">
            <w:pPr>
              <w:rPr>
                <w:b/>
                <w:bCs/>
                <w:lang w:val="en-GB"/>
              </w:rPr>
            </w:pPr>
          </w:p>
        </w:tc>
      </w:tr>
      <w:tr w:rsidR="005D72AE" w:rsidRPr="00844A25" w14:paraId="27C9FDB6" w14:textId="77777777" w:rsidTr="00FA2A1A">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5949" w:type="dxa"/>
          </w:tcPr>
          <w:p w14:paraId="21FF096C" w14:textId="77777777" w:rsidR="005D72AE" w:rsidRPr="00844A25" w:rsidRDefault="005D72AE" w:rsidP="00FA2A1A">
            <w:pPr>
              <w:rPr>
                <w:lang w:val="en-US"/>
              </w:rPr>
            </w:pPr>
            <w:r w:rsidRPr="00844A25">
              <w:rPr>
                <w:lang w:val="en-US"/>
              </w:rPr>
              <w:t>Depreciation</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5019325A" w14:textId="77777777" w:rsidR="005D72AE" w:rsidRPr="00844A25" w:rsidRDefault="005D72AE" w:rsidP="00FA2A1A">
            <w:pPr>
              <w:rPr>
                <w:lang w:val="en-US"/>
              </w:rPr>
            </w:pPr>
            <w:r w:rsidRPr="00844A25">
              <w:rPr>
                <w:lang w:val="en-US"/>
              </w:rPr>
              <w:t>316,512</w:t>
            </w:r>
          </w:p>
        </w:tc>
        <w:tc>
          <w:tcPr>
            <w:cnfStyle w:val="000010000000" w:firstRow="0" w:lastRow="0" w:firstColumn="0" w:lastColumn="0" w:oddVBand="1" w:evenVBand="0" w:oddHBand="0" w:evenHBand="0" w:firstRowFirstColumn="0" w:firstRowLastColumn="0" w:lastRowFirstColumn="0" w:lastRowLastColumn="0"/>
            <w:tcW w:w="1587" w:type="dxa"/>
          </w:tcPr>
          <w:p w14:paraId="71AD7E0F" w14:textId="77777777" w:rsidR="005D72AE" w:rsidRPr="00844A25" w:rsidRDefault="005D72AE" w:rsidP="00FA2A1A">
            <w:pPr>
              <w:rPr>
                <w:lang w:val="en-US"/>
              </w:rPr>
            </w:pPr>
            <w:r w:rsidRPr="00844A25">
              <w:rPr>
                <w:lang w:val="en-US"/>
              </w:rPr>
              <w:t>35,374</w:t>
            </w:r>
          </w:p>
        </w:tc>
      </w:tr>
      <w:tr w:rsidR="005D72AE" w:rsidRPr="00844A25" w14:paraId="599C4020" w14:textId="77777777" w:rsidTr="00FA2A1A">
        <w:trPr>
          <w:trHeight w:val="283"/>
        </w:trPr>
        <w:tc>
          <w:tcPr>
            <w:cnfStyle w:val="000010000000" w:firstRow="0" w:lastRow="0" w:firstColumn="0" w:lastColumn="0" w:oddVBand="1" w:evenVBand="0" w:oddHBand="0" w:evenHBand="0" w:firstRowFirstColumn="0" w:firstRowLastColumn="0" w:lastRowFirstColumn="0" w:lastRowLastColumn="0"/>
            <w:tcW w:w="5949" w:type="dxa"/>
          </w:tcPr>
          <w:p w14:paraId="0B16F720" w14:textId="77777777" w:rsidR="005D72AE" w:rsidRPr="00844A25" w:rsidRDefault="005D72AE" w:rsidP="00FA2A1A">
            <w:pPr>
              <w:rPr>
                <w:lang w:val="en-US"/>
              </w:rPr>
            </w:pPr>
            <w:r w:rsidRPr="00844A25">
              <w:rPr>
                <w:lang w:val="en-US"/>
              </w:rPr>
              <w:t>(Gain)/Loss on disposal of property, plant and equipment</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0B134F75" w14:textId="77777777" w:rsidR="005D72AE" w:rsidRPr="00844A25" w:rsidRDefault="005D72AE" w:rsidP="00FA2A1A">
            <w:pPr>
              <w:rPr>
                <w:lang w:val="en-US"/>
              </w:rPr>
            </w:pPr>
            <w:r w:rsidRPr="00844A25">
              <w:rPr>
                <w:lang w:val="en-US"/>
              </w:rPr>
              <w:t>(12,558)</w:t>
            </w:r>
          </w:p>
        </w:tc>
        <w:tc>
          <w:tcPr>
            <w:cnfStyle w:val="000010000000" w:firstRow="0" w:lastRow="0" w:firstColumn="0" w:lastColumn="0" w:oddVBand="1" w:evenVBand="0" w:oddHBand="0" w:evenHBand="0" w:firstRowFirstColumn="0" w:firstRowLastColumn="0" w:lastRowFirstColumn="0" w:lastRowLastColumn="0"/>
            <w:tcW w:w="1587" w:type="dxa"/>
          </w:tcPr>
          <w:p w14:paraId="7EDC0441" w14:textId="77777777" w:rsidR="005D72AE" w:rsidRPr="00844A25" w:rsidRDefault="005D72AE" w:rsidP="00FA2A1A">
            <w:pPr>
              <w:rPr>
                <w:lang w:val="en-US"/>
              </w:rPr>
            </w:pPr>
            <w:r w:rsidRPr="00844A25">
              <w:rPr>
                <w:lang w:val="en-US"/>
              </w:rPr>
              <w:t>2,104</w:t>
            </w:r>
          </w:p>
        </w:tc>
      </w:tr>
      <w:tr w:rsidR="005D72AE" w:rsidRPr="00844A25" w14:paraId="541D6136" w14:textId="77777777" w:rsidTr="00FA2A1A">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5949" w:type="dxa"/>
          </w:tcPr>
          <w:p w14:paraId="5A54F80C" w14:textId="77777777" w:rsidR="005D72AE" w:rsidRPr="005D375E" w:rsidRDefault="005D72AE" w:rsidP="00FA2A1A">
            <w:pPr>
              <w:rPr>
                <w:b/>
                <w:bCs/>
                <w:lang w:val="en-US"/>
              </w:rPr>
            </w:pPr>
            <w:r w:rsidRPr="005D375E">
              <w:rPr>
                <w:b/>
                <w:bCs/>
                <w:lang w:val="en-US"/>
              </w:rPr>
              <w:t>Movements in assets and liabilities</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08BCB7D5" w14:textId="77777777" w:rsidR="005D72AE" w:rsidRPr="005D375E"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1587" w:type="dxa"/>
          </w:tcPr>
          <w:p w14:paraId="4AE52731" w14:textId="77777777" w:rsidR="005D72AE" w:rsidRPr="005D375E" w:rsidRDefault="005D72AE" w:rsidP="00FA2A1A">
            <w:pPr>
              <w:rPr>
                <w:b/>
                <w:bCs/>
                <w:lang w:val="en-GB"/>
              </w:rPr>
            </w:pPr>
          </w:p>
        </w:tc>
      </w:tr>
      <w:tr w:rsidR="005D72AE" w:rsidRPr="00844A25" w14:paraId="77663E18" w14:textId="77777777" w:rsidTr="00FA2A1A">
        <w:trPr>
          <w:trHeight w:val="283"/>
        </w:trPr>
        <w:tc>
          <w:tcPr>
            <w:cnfStyle w:val="000010000000" w:firstRow="0" w:lastRow="0" w:firstColumn="0" w:lastColumn="0" w:oddVBand="1" w:evenVBand="0" w:oddHBand="0" w:evenHBand="0" w:firstRowFirstColumn="0" w:firstRowLastColumn="0" w:lastRowFirstColumn="0" w:lastRowLastColumn="0"/>
            <w:tcW w:w="5949" w:type="dxa"/>
          </w:tcPr>
          <w:p w14:paraId="0627295D" w14:textId="77777777" w:rsidR="005D72AE" w:rsidRPr="00844A25" w:rsidRDefault="005D72AE" w:rsidP="00FA2A1A">
            <w:pPr>
              <w:rPr>
                <w:lang w:val="en-US"/>
              </w:rPr>
            </w:pPr>
            <w:r w:rsidRPr="00844A25">
              <w:rPr>
                <w:lang w:val="en-US"/>
              </w:rPr>
              <w:t>(Increase)/decrease in receivables</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276A98F9" w14:textId="77777777" w:rsidR="005D72AE" w:rsidRPr="00844A25" w:rsidRDefault="005D72AE" w:rsidP="00FA2A1A">
            <w:pPr>
              <w:rPr>
                <w:lang w:val="en-US"/>
              </w:rPr>
            </w:pPr>
            <w:r w:rsidRPr="00844A25">
              <w:rPr>
                <w:lang w:val="en-US"/>
              </w:rPr>
              <w:t>(2,490,769)</w:t>
            </w:r>
          </w:p>
        </w:tc>
        <w:tc>
          <w:tcPr>
            <w:cnfStyle w:val="000010000000" w:firstRow="0" w:lastRow="0" w:firstColumn="0" w:lastColumn="0" w:oddVBand="1" w:evenVBand="0" w:oddHBand="0" w:evenHBand="0" w:firstRowFirstColumn="0" w:firstRowLastColumn="0" w:lastRowFirstColumn="0" w:lastRowLastColumn="0"/>
            <w:tcW w:w="1587" w:type="dxa"/>
          </w:tcPr>
          <w:p w14:paraId="3F7B472C" w14:textId="77777777" w:rsidR="005D72AE" w:rsidRPr="00844A25" w:rsidRDefault="005D72AE" w:rsidP="00FA2A1A">
            <w:pPr>
              <w:rPr>
                <w:lang w:val="en-US"/>
              </w:rPr>
            </w:pPr>
            <w:r w:rsidRPr="00844A25">
              <w:rPr>
                <w:lang w:val="en-US"/>
              </w:rPr>
              <w:t>(1,615,217)</w:t>
            </w:r>
          </w:p>
        </w:tc>
      </w:tr>
      <w:tr w:rsidR="005D72AE" w:rsidRPr="00844A25" w14:paraId="6819931F" w14:textId="77777777" w:rsidTr="00FA2A1A">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5949" w:type="dxa"/>
          </w:tcPr>
          <w:p w14:paraId="28691A21" w14:textId="77777777" w:rsidR="005D72AE" w:rsidRPr="00844A25" w:rsidRDefault="005D72AE" w:rsidP="00FA2A1A">
            <w:pPr>
              <w:rPr>
                <w:lang w:val="en-US"/>
              </w:rPr>
            </w:pPr>
            <w:r w:rsidRPr="00844A25">
              <w:rPr>
                <w:lang w:val="en-US"/>
              </w:rPr>
              <w:t>(Increase)/decrease in prepayments</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631C1DC2" w14:textId="77777777" w:rsidR="005D72AE" w:rsidRPr="00844A25" w:rsidRDefault="005D72AE" w:rsidP="00FA2A1A">
            <w:pPr>
              <w:rPr>
                <w:lang w:val="en-US"/>
              </w:rPr>
            </w:pPr>
            <w:r w:rsidRPr="00844A25">
              <w:rPr>
                <w:lang w:val="en-US"/>
              </w:rPr>
              <w:t>(160,230)</w:t>
            </w:r>
          </w:p>
        </w:tc>
        <w:tc>
          <w:tcPr>
            <w:cnfStyle w:val="000010000000" w:firstRow="0" w:lastRow="0" w:firstColumn="0" w:lastColumn="0" w:oddVBand="1" w:evenVBand="0" w:oddHBand="0" w:evenHBand="0" w:firstRowFirstColumn="0" w:firstRowLastColumn="0" w:lastRowFirstColumn="0" w:lastRowLastColumn="0"/>
            <w:tcW w:w="1587" w:type="dxa"/>
          </w:tcPr>
          <w:p w14:paraId="48AE770A" w14:textId="77777777" w:rsidR="005D72AE" w:rsidRPr="00844A25" w:rsidRDefault="005D72AE" w:rsidP="00FA2A1A">
            <w:pPr>
              <w:rPr>
                <w:lang w:val="en-US"/>
              </w:rPr>
            </w:pPr>
            <w:r w:rsidRPr="00844A25">
              <w:rPr>
                <w:lang w:val="en-US"/>
              </w:rPr>
              <w:t>77,529</w:t>
            </w:r>
          </w:p>
        </w:tc>
      </w:tr>
      <w:tr w:rsidR="005D72AE" w:rsidRPr="00844A25" w14:paraId="14440FD8" w14:textId="77777777" w:rsidTr="00FA2A1A">
        <w:trPr>
          <w:trHeight w:val="283"/>
        </w:trPr>
        <w:tc>
          <w:tcPr>
            <w:cnfStyle w:val="000010000000" w:firstRow="0" w:lastRow="0" w:firstColumn="0" w:lastColumn="0" w:oddVBand="1" w:evenVBand="0" w:oddHBand="0" w:evenHBand="0" w:firstRowFirstColumn="0" w:firstRowLastColumn="0" w:lastRowFirstColumn="0" w:lastRowLastColumn="0"/>
            <w:tcW w:w="5949" w:type="dxa"/>
          </w:tcPr>
          <w:p w14:paraId="382DF9F5" w14:textId="77777777" w:rsidR="005D72AE" w:rsidRPr="00844A25" w:rsidRDefault="005D72AE" w:rsidP="00FA2A1A">
            <w:pPr>
              <w:rPr>
                <w:lang w:val="en-US"/>
              </w:rPr>
            </w:pPr>
            <w:r w:rsidRPr="00844A25">
              <w:rPr>
                <w:lang w:val="en-US"/>
              </w:rPr>
              <w:t>Increase/(decrease) in payables</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56DB02D8" w14:textId="77777777" w:rsidR="005D72AE" w:rsidRPr="00844A25" w:rsidRDefault="005D72AE" w:rsidP="00FA2A1A">
            <w:pPr>
              <w:rPr>
                <w:lang w:val="en-US"/>
              </w:rPr>
            </w:pPr>
            <w:r w:rsidRPr="00844A25">
              <w:rPr>
                <w:lang w:val="en-US"/>
              </w:rPr>
              <w:t>1,737,633</w:t>
            </w:r>
          </w:p>
        </w:tc>
        <w:tc>
          <w:tcPr>
            <w:cnfStyle w:val="000010000000" w:firstRow="0" w:lastRow="0" w:firstColumn="0" w:lastColumn="0" w:oddVBand="1" w:evenVBand="0" w:oddHBand="0" w:evenHBand="0" w:firstRowFirstColumn="0" w:firstRowLastColumn="0" w:lastRowFirstColumn="0" w:lastRowLastColumn="0"/>
            <w:tcW w:w="1587" w:type="dxa"/>
          </w:tcPr>
          <w:p w14:paraId="2B090651" w14:textId="77777777" w:rsidR="005D72AE" w:rsidRPr="00844A25" w:rsidRDefault="005D72AE" w:rsidP="00FA2A1A">
            <w:pPr>
              <w:rPr>
                <w:lang w:val="en-US"/>
              </w:rPr>
            </w:pPr>
            <w:r w:rsidRPr="00844A25">
              <w:rPr>
                <w:lang w:val="en-US"/>
              </w:rPr>
              <w:t>423,796</w:t>
            </w:r>
          </w:p>
        </w:tc>
      </w:tr>
      <w:tr w:rsidR="005D72AE" w:rsidRPr="00844A25" w14:paraId="09F0142A" w14:textId="77777777" w:rsidTr="00FA2A1A">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5949" w:type="dxa"/>
          </w:tcPr>
          <w:p w14:paraId="122090B6" w14:textId="77777777" w:rsidR="005D72AE" w:rsidRPr="00844A25" w:rsidRDefault="005D72AE" w:rsidP="00FA2A1A">
            <w:pPr>
              <w:rPr>
                <w:lang w:val="en-US"/>
              </w:rPr>
            </w:pPr>
            <w:r w:rsidRPr="00844A25">
              <w:rPr>
                <w:lang w:val="en-US"/>
              </w:rPr>
              <w:t>Increase/(decrease) in provisions</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065C5549" w14:textId="77777777" w:rsidR="005D72AE" w:rsidRPr="00844A25" w:rsidRDefault="005D72AE" w:rsidP="00FA2A1A">
            <w:pPr>
              <w:rPr>
                <w:lang w:val="en-US"/>
              </w:rPr>
            </w:pPr>
            <w:r w:rsidRPr="00844A25">
              <w:rPr>
                <w:lang w:val="en-US"/>
              </w:rPr>
              <w:t>1,122,754</w:t>
            </w:r>
          </w:p>
        </w:tc>
        <w:tc>
          <w:tcPr>
            <w:cnfStyle w:val="000010000000" w:firstRow="0" w:lastRow="0" w:firstColumn="0" w:lastColumn="0" w:oddVBand="1" w:evenVBand="0" w:oddHBand="0" w:evenHBand="0" w:firstRowFirstColumn="0" w:firstRowLastColumn="0" w:lastRowFirstColumn="0" w:lastRowLastColumn="0"/>
            <w:tcW w:w="1587" w:type="dxa"/>
          </w:tcPr>
          <w:p w14:paraId="1F4089B8" w14:textId="77777777" w:rsidR="005D72AE" w:rsidRPr="00844A25" w:rsidRDefault="005D72AE" w:rsidP="00FA2A1A">
            <w:pPr>
              <w:rPr>
                <w:lang w:val="en-US"/>
              </w:rPr>
            </w:pPr>
            <w:r w:rsidRPr="00844A25">
              <w:rPr>
                <w:lang w:val="en-US"/>
              </w:rPr>
              <w:t>(403,552)</w:t>
            </w:r>
          </w:p>
        </w:tc>
      </w:tr>
      <w:tr w:rsidR="005D72AE" w:rsidRPr="00844A25" w14:paraId="233ED030" w14:textId="77777777" w:rsidTr="00FA2A1A">
        <w:trPr>
          <w:trHeight w:val="283"/>
        </w:trPr>
        <w:tc>
          <w:tcPr>
            <w:cnfStyle w:val="000010000000" w:firstRow="0" w:lastRow="0" w:firstColumn="0" w:lastColumn="0" w:oddVBand="1" w:evenVBand="0" w:oddHBand="0" w:evenHBand="0" w:firstRowFirstColumn="0" w:firstRowLastColumn="0" w:lastRowFirstColumn="0" w:lastRowLastColumn="0"/>
            <w:tcW w:w="5949" w:type="dxa"/>
          </w:tcPr>
          <w:p w14:paraId="5A424B33" w14:textId="77777777" w:rsidR="005D72AE" w:rsidRPr="00844A25" w:rsidRDefault="005D72AE" w:rsidP="00FA2A1A">
            <w:pPr>
              <w:rPr>
                <w:lang w:val="en-US"/>
              </w:rPr>
            </w:pPr>
            <w:r w:rsidRPr="00844A25">
              <w:rPr>
                <w:lang w:val="en-US"/>
              </w:rPr>
              <w:t>Increase/(decrease) in accrued income</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3C4BC95B" w14:textId="77777777" w:rsidR="005D72AE" w:rsidRPr="00844A25" w:rsidRDefault="005D72AE" w:rsidP="00FA2A1A">
            <w:pPr>
              <w:rPr>
                <w:lang w:val="en-US"/>
              </w:rPr>
            </w:pPr>
            <w:r w:rsidRPr="00844A25">
              <w:rPr>
                <w:lang w:val="en-US"/>
              </w:rPr>
              <w:t>842,876</w:t>
            </w:r>
          </w:p>
        </w:tc>
        <w:tc>
          <w:tcPr>
            <w:cnfStyle w:val="000010000000" w:firstRow="0" w:lastRow="0" w:firstColumn="0" w:lastColumn="0" w:oddVBand="1" w:evenVBand="0" w:oddHBand="0" w:evenHBand="0" w:firstRowFirstColumn="0" w:firstRowLastColumn="0" w:lastRowFirstColumn="0" w:lastRowLastColumn="0"/>
            <w:tcW w:w="1587" w:type="dxa"/>
          </w:tcPr>
          <w:p w14:paraId="42787C21" w14:textId="77777777" w:rsidR="005D72AE" w:rsidRPr="00844A25" w:rsidRDefault="005D72AE" w:rsidP="00FA2A1A">
            <w:pPr>
              <w:rPr>
                <w:lang w:val="en-US"/>
              </w:rPr>
            </w:pPr>
            <w:r w:rsidRPr="00844A25">
              <w:rPr>
                <w:lang w:val="en-US"/>
              </w:rPr>
              <w:t>-</w:t>
            </w:r>
          </w:p>
        </w:tc>
      </w:tr>
      <w:tr w:rsidR="005D72AE" w:rsidRPr="00844A25" w14:paraId="4FE2FF23" w14:textId="77777777" w:rsidTr="00FA2A1A">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5949" w:type="dxa"/>
          </w:tcPr>
          <w:p w14:paraId="3BC57EE1" w14:textId="77777777" w:rsidR="005D72AE" w:rsidRPr="005D375E" w:rsidRDefault="005D72AE" w:rsidP="00FA2A1A">
            <w:pPr>
              <w:rPr>
                <w:b/>
                <w:bCs/>
                <w:lang w:val="en-US"/>
              </w:rPr>
            </w:pPr>
            <w:r w:rsidRPr="005D375E">
              <w:rPr>
                <w:b/>
                <w:bCs/>
                <w:lang w:val="en-US"/>
              </w:rPr>
              <w:t>Net cash flows from operating activities</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22A1557B" w14:textId="77777777" w:rsidR="005D72AE" w:rsidRPr="005D375E" w:rsidRDefault="005D72AE" w:rsidP="00FA2A1A">
            <w:pPr>
              <w:rPr>
                <w:b/>
                <w:bCs/>
                <w:lang w:val="en-US"/>
              </w:rPr>
            </w:pPr>
            <w:r w:rsidRPr="005D375E">
              <w:rPr>
                <w:b/>
                <w:bCs/>
                <w:lang w:val="en-US"/>
              </w:rPr>
              <w:t>1,505,481</w:t>
            </w:r>
          </w:p>
        </w:tc>
        <w:tc>
          <w:tcPr>
            <w:cnfStyle w:val="000010000000" w:firstRow="0" w:lastRow="0" w:firstColumn="0" w:lastColumn="0" w:oddVBand="1" w:evenVBand="0" w:oddHBand="0" w:evenHBand="0" w:firstRowFirstColumn="0" w:firstRowLastColumn="0" w:lastRowFirstColumn="0" w:lastRowLastColumn="0"/>
            <w:tcW w:w="1587" w:type="dxa"/>
          </w:tcPr>
          <w:p w14:paraId="22591E10" w14:textId="77777777" w:rsidR="005D72AE" w:rsidRPr="005D375E" w:rsidRDefault="005D72AE" w:rsidP="00FA2A1A">
            <w:pPr>
              <w:rPr>
                <w:b/>
                <w:bCs/>
                <w:lang w:val="en-US"/>
              </w:rPr>
            </w:pPr>
            <w:r w:rsidRPr="005D375E">
              <w:rPr>
                <w:b/>
                <w:bCs/>
                <w:lang w:val="en-US"/>
              </w:rPr>
              <w:t>180,329</w:t>
            </w:r>
          </w:p>
        </w:tc>
      </w:tr>
    </w:tbl>
    <w:p w14:paraId="5262CBD0" w14:textId="77777777" w:rsidR="005D72AE" w:rsidRPr="00844A25" w:rsidRDefault="005D72AE" w:rsidP="005D72AE">
      <w:pPr>
        <w:pStyle w:val="Heading3"/>
      </w:pPr>
      <w:r w:rsidRPr="00844A25">
        <w:t xml:space="preserve">7.2. Commitments for expenditure </w:t>
      </w:r>
    </w:p>
    <w:tbl>
      <w:tblPr>
        <w:tblStyle w:val="PlainTable2"/>
        <w:tblW w:w="9075" w:type="dxa"/>
        <w:tblInd w:w="-5" w:type="dxa"/>
        <w:tblLayout w:type="fixed"/>
        <w:tblLook w:val="0000" w:firstRow="0" w:lastRow="0" w:firstColumn="0" w:lastColumn="0" w:noHBand="0" w:noVBand="0"/>
      </w:tblPr>
      <w:tblGrid>
        <w:gridCol w:w="5954"/>
        <w:gridCol w:w="1559"/>
        <w:gridCol w:w="1562"/>
      </w:tblGrid>
      <w:tr w:rsidR="005D72AE" w:rsidRPr="00844A25" w14:paraId="437C1EB3" w14:textId="77777777" w:rsidTr="00FA2A1A">
        <w:trPr>
          <w:cnfStyle w:val="000000100000" w:firstRow="0" w:lastRow="0" w:firstColumn="0" w:lastColumn="0" w:oddVBand="0" w:evenVBand="0" w:oddHBand="1" w:evenHBand="0" w:firstRowFirstColumn="0" w:firstRowLastColumn="0" w:lastRowFirstColumn="0" w:lastRowLastColumn="0"/>
          <w:trHeight w:val="377"/>
        </w:trPr>
        <w:tc>
          <w:tcPr>
            <w:cnfStyle w:val="000010000000" w:firstRow="0" w:lastRow="0" w:firstColumn="0" w:lastColumn="0" w:oddVBand="1" w:evenVBand="0" w:oddHBand="0" w:evenHBand="0" w:firstRowFirstColumn="0" w:firstRowLastColumn="0" w:lastRowFirstColumn="0" w:lastRowLastColumn="0"/>
            <w:tcW w:w="5954" w:type="dxa"/>
          </w:tcPr>
          <w:p w14:paraId="3331CC32" w14:textId="77777777" w:rsidR="005D72AE" w:rsidRPr="005D375E"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187367A5" w14:textId="77777777" w:rsidR="005D72AE" w:rsidRPr="005D375E" w:rsidRDefault="005D72AE" w:rsidP="00FA2A1A">
            <w:pPr>
              <w:rPr>
                <w:b/>
                <w:bCs/>
                <w:lang w:val="en-US"/>
              </w:rPr>
            </w:pPr>
            <w:r w:rsidRPr="005D375E">
              <w:rPr>
                <w:b/>
                <w:bCs/>
                <w:lang w:val="en-US"/>
              </w:rPr>
              <w:t>2020</w:t>
            </w:r>
          </w:p>
        </w:tc>
        <w:tc>
          <w:tcPr>
            <w:cnfStyle w:val="000010000000" w:firstRow="0" w:lastRow="0" w:firstColumn="0" w:lastColumn="0" w:oddVBand="1" w:evenVBand="0" w:oddHBand="0" w:evenHBand="0" w:firstRowFirstColumn="0" w:firstRowLastColumn="0" w:lastRowFirstColumn="0" w:lastRowLastColumn="0"/>
            <w:tcW w:w="1562" w:type="dxa"/>
          </w:tcPr>
          <w:p w14:paraId="1E5BD160" w14:textId="77777777" w:rsidR="005D72AE" w:rsidRPr="005D375E" w:rsidRDefault="005D72AE" w:rsidP="00FA2A1A">
            <w:pPr>
              <w:rPr>
                <w:b/>
                <w:bCs/>
                <w:lang w:val="en-US"/>
              </w:rPr>
            </w:pPr>
            <w:r w:rsidRPr="005D375E">
              <w:rPr>
                <w:b/>
                <w:bCs/>
                <w:lang w:val="en-US"/>
              </w:rPr>
              <w:t>2019</w:t>
            </w:r>
          </w:p>
        </w:tc>
      </w:tr>
      <w:tr w:rsidR="005D72AE" w:rsidRPr="00844A25" w14:paraId="197F52DC" w14:textId="77777777" w:rsidTr="00FA2A1A">
        <w:trPr>
          <w:trHeight w:val="377"/>
        </w:trPr>
        <w:tc>
          <w:tcPr>
            <w:cnfStyle w:val="000010000000" w:firstRow="0" w:lastRow="0" w:firstColumn="0" w:lastColumn="0" w:oddVBand="1" w:evenVBand="0" w:oddHBand="0" w:evenHBand="0" w:firstRowFirstColumn="0" w:firstRowLastColumn="0" w:lastRowFirstColumn="0" w:lastRowLastColumn="0"/>
            <w:tcW w:w="5954" w:type="dxa"/>
          </w:tcPr>
          <w:p w14:paraId="0BB2962B" w14:textId="77777777" w:rsidR="005D72AE" w:rsidRPr="005D375E"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5D379AA1" w14:textId="77777777" w:rsidR="005D72AE" w:rsidRPr="005D375E" w:rsidRDefault="005D72AE" w:rsidP="00FA2A1A">
            <w:pPr>
              <w:rPr>
                <w:b/>
                <w:bCs/>
                <w:lang w:val="en-US"/>
              </w:rPr>
            </w:pPr>
            <w:r w:rsidRPr="005D375E">
              <w:rPr>
                <w:b/>
                <w:bCs/>
                <w:lang w:val="en-US"/>
              </w:rPr>
              <w:t>$</w:t>
            </w:r>
          </w:p>
        </w:tc>
        <w:tc>
          <w:tcPr>
            <w:cnfStyle w:val="000010000000" w:firstRow="0" w:lastRow="0" w:firstColumn="0" w:lastColumn="0" w:oddVBand="1" w:evenVBand="0" w:oddHBand="0" w:evenHBand="0" w:firstRowFirstColumn="0" w:firstRowLastColumn="0" w:lastRowFirstColumn="0" w:lastRowLastColumn="0"/>
            <w:tcW w:w="1562" w:type="dxa"/>
          </w:tcPr>
          <w:p w14:paraId="3933F65E" w14:textId="77777777" w:rsidR="005D72AE" w:rsidRPr="005D375E" w:rsidRDefault="005D72AE" w:rsidP="00FA2A1A">
            <w:pPr>
              <w:rPr>
                <w:b/>
                <w:bCs/>
                <w:lang w:val="en-US"/>
              </w:rPr>
            </w:pPr>
            <w:r w:rsidRPr="005D375E">
              <w:rPr>
                <w:b/>
                <w:bCs/>
                <w:lang w:val="en-US"/>
              </w:rPr>
              <w:t>$</w:t>
            </w:r>
          </w:p>
        </w:tc>
      </w:tr>
      <w:tr w:rsidR="005D72AE" w:rsidRPr="00844A25" w14:paraId="4E9A744F" w14:textId="77777777" w:rsidTr="00FA2A1A">
        <w:trPr>
          <w:cnfStyle w:val="000000100000" w:firstRow="0" w:lastRow="0" w:firstColumn="0" w:lastColumn="0" w:oddVBand="0" w:evenVBand="0" w:oddHBand="1" w:evenHBand="0" w:firstRowFirstColumn="0" w:firstRowLastColumn="0" w:lastRowFirstColumn="0" w:lastRowLastColumn="0"/>
          <w:trHeight w:val="377"/>
        </w:trPr>
        <w:tc>
          <w:tcPr>
            <w:cnfStyle w:val="000010000000" w:firstRow="0" w:lastRow="0" w:firstColumn="0" w:lastColumn="0" w:oddVBand="1" w:evenVBand="0" w:oddHBand="0" w:evenHBand="0" w:firstRowFirstColumn="0" w:firstRowLastColumn="0" w:lastRowFirstColumn="0" w:lastRowLastColumn="0"/>
            <w:tcW w:w="5954" w:type="dxa"/>
          </w:tcPr>
          <w:p w14:paraId="449A8C2D" w14:textId="77777777" w:rsidR="005D72AE" w:rsidRPr="005D375E" w:rsidRDefault="005D72AE" w:rsidP="00FA2A1A">
            <w:pPr>
              <w:rPr>
                <w:b/>
                <w:bCs/>
                <w:lang w:val="en-US"/>
              </w:rPr>
            </w:pPr>
            <w:r w:rsidRPr="005D375E">
              <w:rPr>
                <w:b/>
                <w:bCs/>
                <w:lang w:val="en-US"/>
              </w:rPr>
              <w:t>Capital commitments</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78007469"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562" w:type="dxa"/>
          </w:tcPr>
          <w:p w14:paraId="447EC6B9" w14:textId="77777777" w:rsidR="005D72AE" w:rsidRPr="00844A25" w:rsidRDefault="005D72AE" w:rsidP="00FA2A1A">
            <w:pPr>
              <w:rPr>
                <w:lang w:val="en-GB"/>
              </w:rPr>
            </w:pPr>
          </w:p>
        </w:tc>
      </w:tr>
      <w:tr w:rsidR="005D72AE" w:rsidRPr="00844A25" w14:paraId="571478C4" w14:textId="77777777" w:rsidTr="00FA2A1A">
        <w:trPr>
          <w:trHeight w:val="377"/>
        </w:trPr>
        <w:tc>
          <w:tcPr>
            <w:cnfStyle w:val="000010000000" w:firstRow="0" w:lastRow="0" w:firstColumn="0" w:lastColumn="0" w:oddVBand="1" w:evenVBand="0" w:oddHBand="0" w:evenHBand="0" w:firstRowFirstColumn="0" w:firstRowLastColumn="0" w:lastRowFirstColumn="0" w:lastRowLastColumn="0"/>
            <w:tcW w:w="5954" w:type="dxa"/>
          </w:tcPr>
          <w:p w14:paraId="166CD105" w14:textId="77777777" w:rsidR="005D72AE" w:rsidRPr="00844A25" w:rsidRDefault="005D72AE" w:rsidP="00FA2A1A">
            <w:pPr>
              <w:rPr>
                <w:lang w:val="en-US"/>
              </w:rPr>
            </w:pPr>
            <w:r w:rsidRPr="00844A25">
              <w:rPr>
                <w:lang w:val="en-US"/>
              </w:rPr>
              <w:t>Intangible assets, payable:</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679B69E2"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562" w:type="dxa"/>
          </w:tcPr>
          <w:p w14:paraId="5039DE5D" w14:textId="77777777" w:rsidR="005D72AE" w:rsidRPr="00844A25" w:rsidRDefault="005D72AE" w:rsidP="00FA2A1A">
            <w:pPr>
              <w:rPr>
                <w:lang w:val="en-GB"/>
              </w:rPr>
            </w:pPr>
          </w:p>
        </w:tc>
      </w:tr>
      <w:tr w:rsidR="005D72AE" w:rsidRPr="00844A25" w14:paraId="5D937357" w14:textId="77777777" w:rsidTr="00FA2A1A">
        <w:trPr>
          <w:cnfStyle w:val="000000100000" w:firstRow="0" w:lastRow="0" w:firstColumn="0" w:lastColumn="0" w:oddVBand="0" w:evenVBand="0" w:oddHBand="1" w:evenHBand="0" w:firstRowFirstColumn="0" w:firstRowLastColumn="0" w:lastRowFirstColumn="0" w:lastRowLastColumn="0"/>
          <w:trHeight w:val="377"/>
        </w:trPr>
        <w:tc>
          <w:tcPr>
            <w:cnfStyle w:val="000010000000" w:firstRow="0" w:lastRow="0" w:firstColumn="0" w:lastColumn="0" w:oddVBand="1" w:evenVBand="0" w:oddHBand="0" w:evenHBand="0" w:firstRowFirstColumn="0" w:firstRowLastColumn="0" w:lastRowFirstColumn="0" w:lastRowLastColumn="0"/>
            <w:tcW w:w="5954" w:type="dxa"/>
          </w:tcPr>
          <w:p w14:paraId="4769CF05" w14:textId="77777777" w:rsidR="005D72AE" w:rsidRPr="00844A25" w:rsidRDefault="005D72AE" w:rsidP="00FA2A1A">
            <w:pPr>
              <w:rPr>
                <w:lang w:val="en-US"/>
              </w:rPr>
            </w:pPr>
            <w:r w:rsidRPr="00844A25">
              <w:rPr>
                <w:lang w:val="en-US"/>
              </w:rPr>
              <w:lastRenderedPageBreak/>
              <w:t>Within one year</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4137C829" w14:textId="77777777" w:rsidR="005D72AE" w:rsidRPr="00844A25" w:rsidRDefault="005D72AE" w:rsidP="00FA2A1A">
            <w:pPr>
              <w:rPr>
                <w:lang w:val="en-US"/>
              </w:rPr>
            </w:pPr>
            <w:r w:rsidRPr="00844A25">
              <w:rPr>
                <w:lang w:val="en-US"/>
              </w:rPr>
              <w:t>878,985</w:t>
            </w:r>
          </w:p>
        </w:tc>
        <w:tc>
          <w:tcPr>
            <w:cnfStyle w:val="000010000000" w:firstRow="0" w:lastRow="0" w:firstColumn="0" w:lastColumn="0" w:oddVBand="1" w:evenVBand="0" w:oddHBand="0" w:evenHBand="0" w:firstRowFirstColumn="0" w:firstRowLastColumn="0" w:lastRowFirstColumn="0" w:lastRowLastColumn="0"/>
            <w:tcW w:w="1562" w:type="dxa"/>
          </w:tcPr>
          <w:p w14:paraId="1406A277" w14:textId="77777777" w:rsidR="005D72AE" w:rsidRPr="00844A25" w:rsidRDefault="005D72AE" w:rsidP="00FA2A1A">
            <w:pPr>
              <w:rPr>
                <w:lang w:val="en-US"/>
              </w:rPr>
            </w:pPr>
            <w:r w:rsidRPr="00844A25">
              <w:rPr>
                <w:lang w:val="en-US"/>
              </w:rPr>
              <w:t>-</w:t>
            </w:r>
          </w:p>
        </w:tc>
      </w:tr>
      <w:tr w:rsidR="005D72AE" w:rsidRPr="00844A25" w14:paraId="3AFC5B55" w14:textId="77777777" w:rsidTr="00FA2A1A">
        <w:trPr>
          <w:trHeight w:val="377"/>
        </w:trPr>
        <w:tc>
          <w:tcPr>
            <w:cnfStyle w:val="000010000000" w:firstRow="0" w:lastRow="0" w:firstColumn="0" w:lastColumn="0" w:oddVBand="1" w:evenVBand="0" w:oddHBand="0" w:evenHBand="0" w:firstRowFirstColumn="0" w:firstRowLastColumn="0" w:lastRowFirstColumn="0" w:lastRowLastColumn="0"/>
            <w:tcW w:w="5954" w:type="dxa"/>
          </w:tcPr>
          <w:p w14:paraId="7CBCAEB6" w14:textId="77777777" w:rsidR="005D72AE" w:rsidRPr="00844A25" w:rsidRDefault="005D72AE" w:rsidP="00FA2A1A">
            <w:pPr>
              <w:rPr>
                <w:lang w:val="en-US"/>
              </w:rPr>
            </w:pPr>
            <w:r w:rsidRPr="00844A25">
              <w:rPr>
                <w:lang w:val="en-US"/>
              </w:rPr>
              <w:t>Later than one year but not later than five years</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6D8781B6"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562" w:type="dxa"/>
          </w:tcPr>
          <w:p w14:paraId="02881E3A" w14:textId="77777777" w:rsidR="005D72AE" w:rsidRPr="00844A25" w:rsidRDefault="005D72AE" w:rsidP="00FA2A1A">
            <w:pPr>
              <w:rPr>
                <w:lang w:val="en-US"/>
              </w:rPr>
            </w:pPr>
            <w:r w:rsidRPr="00844A25">
              <w:rPr>
                <w:lang w:val="en-US"/>
              </w:rPr>
              <w:t>-</w:t>
            </w:r>
          </w:p>
        </w:tc>
      </w:tr>
      <w:tr w:rsidR="005D72AE" w:rsidRPr="00844A25" w14:paraId="0CF8EE16" w14:textId="77777777" w:rsidTr="00FA2A1A">
        <w:trPr>
          <w:cnfStyle w:val="000000100000" w:firstRow="0" w:lastRow="0" w:firstColumn="0" w:lastColumn="0" w:oddVBand="0" w:evenVBand="0" w:oddHBand="1" w:evenHBand="0" w:firstRowFirstColumn="0" w:firstRowLastColumn="0" w:lastRowFirstColumn="0" w:lastRowLastColumn="0"/>
          <w:trHeight w:val="377"/>
        </w:trPr>
        <w:tc>
          <w:tcPr>
            <w:cnfStyle w:val="000010000000" w:firstRow="0" w:lastRow="0" w:firstColumn="0" w:lastColumn="0" w:oddVBand="1" w:evenVBand="0" w:oddHBand="0" w:evenHBand="0" w:firstRowFirstColumn="0" w:firstRowLastColumn="0" w:lastRowFirstColumn="0" w:lastRowLastColumn="0"/>
            <w:tcW w:w="5954" w:type="dxa"/>
          </w:tcPr>
          <w:p w14:paraId="7E489190" w14:textId="77777777" w:rsidR="005D72AE" w:rsidRPr="00844A25" w:rsidRDefault="005D72AE" w:rsidP="00FA2A1A">
            <w:pPr>
              <w:rPr>
                <w:lang w:val="en-US"/>
              </w:rPr>
            </w:pPr>
            <w:r w:rsidRPr="00844A25">
              <w:rPr>
                <w:lang w:val="en-US"/>
              </w:rPr>
              <w:t>Total commitments (inclusive of GST)</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41052F4F" w14:textId="77777777" w:rsidR="005D72AE" w:rsidRPr="00844A25" w:rsidRDefault="005D72AE" w:rsidP="00FA2A1A">
            <w:pPr>
              <w:rPr>
                <w:lang w:val="en-US"/>
              </w:rPr>
            </w:pPr>
            <w:r w:rsidRPr="00844A25">
              <w:rPr>
                <w:lang w:val="en-US"/>
              </w:rPr>
              <w:t>878,985</w:t>
            </w:r>
          </w:p>
        </w:tc>
        <w:tc>
          <w:tcPr>
            <w:cnfStyle w:val="000010000000" w:firstRow="0" w:lastRow="0" w:firstColumn="0" w:lastColumn="0" w:oddVBand="1" w:evenVBand="0" w:oddHBand="0" w:evenHBand="0" w:firstRowFirstColumn="0" w:firstRowLastColumn="0" w:lastRowFirstColumn="0" w:lastRowLastColumn="0"/>
            <w:tcW w:w="1562" w:type="dxa"/>
          </w:tcPr>
          <w:p w14:paraId="7EF4B60C" w14:textId="77777777" w:rsidR="005D72AE" w:rsidRPr="00844A25" w:rsidRDefault="005D72AE" w:rsidP="00FA2A1A">
            <w:pPr>
              <w:rPr>
                <w:lang w:val="en-US"/>
              </w:rPr>
            </w:pPr>
            <w:r w:rsidRPr="00844A25">
              <w:rPr>
                <w:lang w:val="en-US"/>
              </w:rPr>
              <w:t>-</w:t>
            </w:r>
          </w:p>
        </w:tc>
      </w:tr>
      <w:tr w:rsidR="005D72AE" w:rsidRPr="00844A25" w14:paraId="360BE902" w14:textId="77777777" w:rsidTr="00FA2A1A">
        <w:trPr>
          <w:trHeight w:val="377"/>
        </w:trPr>
        <w:tc>
          <w:tcPr>
            <w:cnfStyle w:val="000010000000" w:firstRow="0" w:lastRow="0" w:firstColumn="0" w:lastColumn="0" w:oddVBand="1" w:evenVBand="0" w:oddHBand="0" w:evenHBand="0" w:firstRowFirstColumn="0" w:firstRowLastColumn="0" w:lastRowFirstColumn="0" w:lastRowLastColumn="0"/>
            <w:tcW w:w="5954" w:type="dxa"/>
          </w:tcPr>
          <w:p w14:paraId="44D2820E" w14:textId="77777777" w:rsidR="005D72AE" w:rsidRPr="00844A25" w:rsidRDefault="005D72AE" w:rsidP="00FA2A1A">
            <w:pPr>
              <w:rPr>
                <w:lang w:val="en-US"/>
              </w:rPr>
            </w:pPr>
            <w:r w:rsidRPr="00844A25">
              <w:rPr>
                <w:lang w:val="en-US"/>
              </w:rPr>
              <w:t>Less GST recoverable</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5AD4388A" w14:textId="77777777" w:rsidR="005D72AE" w:rsidRPr="00844A25" w:rsidRDefault="005D72AE" w:rsidP="00FA2A1A">
            <w:pPr>
              <w:rPr>
                <w:lang w:val="en-US"/>
              </w:rPr>
            </w:pPr>
            <w:r w:rsidRPr="00844A25">
              <w:rPr>
                <w:lang w:val="en-US"/>
              </w:rPr>
              <w:t>79,908</w:t>
            </w:r>
          </w:p>
        </w:tc>
        <w:tc>
          <w:tcPr>
            <w:cnfStyle w:val="000010000000" w:firstRow="0" w:lastRow="0" w:firstColumn="0" w:lastColumn="0" w:oddVBand="1" w:evenVBand="0" w:oddHBand="0" w:evenHBand="0" w:firstRowFirstColumn="0" w:firstRowLastColumn="0" w:lastRowFirstColumn="0" w:lastRowLastColumn="0"/>
            <w:tcW w:w="1562" w:type="dxa"/>
          </w:tcPr>
          <w:p w14:paraId="1A89DDBA" w14:textId="77777777" w:rsidR="005D72AE" w:rsidRPr="00844A25" w:rsidRDefault="005D72AE" w:rsidP="00FA2A1A">
            <w:pPr>
              <w:rPr>
                <w:lang w:val="en-US"/>
              </w:rPr>
            </w:pPr>
            <w:r w:rsidRPr="00844A25">
              <w:rPr>
                <w:lang w:val="en-US"/>
              </w:rPr>
              <w:t>-</w:t>
            </w:r>
          </w:p>
        </w:tc>
      </w:tr>
      <w:tr w:rsidR="005D72AE" w:rsidRPr="00844A25" w14:paraId="27BD6A56" w14:textId="77777777" w:rsidTr="00FA2A1A">
        <w:trPr>
          <w:cnfStyle w:val="000000100000" w:firstRow="0" w:lastRow="0" w:firstColumn="0" w:lastColumn="0" w:oddVBand="0" w:evenVBand="0" w:oddHBand="1" w:evenHBand="0" w:firstRowFirstColumn="0" w:firstRowLastColumn="0" w:lastRowFirstColumn="0" w:lastRowLastColumn="0"/>
          <w:trHeight w:val="377"/>
        </w:trPr>
        <w:tc>
          <w:tcPr>
            <w:cnfStyle w:val="000010000000" w:firstRow="0" w:lastRow="0" w:firstColumn="0" w:lastColumn="0" w:oddVBand="1" w:evenVBand="0" w:oddHBand="0" w:evenHBand="0" w:firstRowFirstColumn="0" w:firstRowLastColumn="0" w:lastRowFirstColumn="0" w:lastRowLastColumn="0"/>
            <w:tcW w:w="5954" w:type="dxa"/>
          </w:tcPr>
          <w:p w14:paraId="01F6D3A9" w14:textId="77777777" w:rsidR="005D72AE" w:rsidRPr="005D375E" w:rsidRDefault="005D72AE" w:rsidP="00FA2A1A">
            <w:pPr>
              <w:rPr>
                <w:b/>
                <w:bCs/>
                <w:lang w:val="en-US"/>
              </w:rPr>
            </w:pPr>
            <w:r w:rsidRPr="005D375E">
              <w:rPr>
                <w:b/>
                <w:bCs/>
                <w:lang w:val="en-US"/>
              </w:rPr>
              <w:t>Total capital commitments (exclusive of GST)</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7522BD61" w14:textId="77777777" w:rsidR="005D72AE" w:rsidRPr="005D375E" w:rsidRDefault="005D72AE" w:rsidP="00FA2A1A">
            <w:pPr>
              <w:rPr>
                <w:b/>
                <w:bCs/>
                <w:lang w:val="en-US"/>
              </w:rPr>
            </w:pPr>
            <w:r w:rsidRPr="005D375E">
              <w:rPr>
                <w:b/>
                <w:bCs/>
                <w:lang w:val="en-US"/>
              </w:rPr>
              <w:t>799,077</w:t>
            </w:r>
          </w:p>
        </w:tc>
        <w:tc>
          <w:tcPr>
            <w:cnfStyle w:val="000010000000" w:firstRow="0" w:lastRow="0" w:firstColumn="0" w:lastColumn="0" w:oddVBand="1" w:evenVBand="0" w:oddHBand="0" w:evenHBand="0" w:firstRowFirstColumn="0" w:firstRowLastColumn="0" w:lastRowFirstColumn="0" w:lastRowLastColumn="0"/>
            <w:tcW w:w="1562" w:type="dxa"/>
          </w:tcPr>
          <w:p w14:paraId="50C81AEA" w14:textId="77777777" w:rsidR="005D72AE" w:rsidRPr="005D375E" w:rsidRDefault="005D72AE" w:rsidP="00FA2A1A">
            <w:pPr>
              <w:rPr>
                <w:b/>
                <w:bCs/>
                <w:lang w:val="en-US"/>
              </w:rPr>
            </w:pPr>
            <w:r w:rsidRPr="005D375E">
              <w:rPr>
                <w:b/>
                <w:bCs/>
                <w:lang w:val="en-US"/>
              </w:rPr>
              <w:t>-</w:t>
            </w:r>
          </w:p>
        </w:tc>
      </w:tr>
      <w:tr w:rsidR="005D72AE" w:rsidRPr="00844A25" w14:paraId="4AFFD947" w14:textId="77777777" w:rsidTr="00FA2A1A">
        <w:trPr>
          <w:trHeight w:val="377"/>
        </w:trPr>
        <w:tc>
          <w:tcPr>
            <w:cnfStyle w:val="000010000000" w:firstRow="0" w:lastRow="0" w:firstColumn="0" w:lastColumn="0" w:oddVBand="1" w:evenVBand="0" w:oddHBand="0" w:evenHBand="0" w:firstRowFirstColumn="0" w:firstRowLastColumn="0" w:lastRowFirstColumn="0" w:lastRowLastColumn="0"/>
            <w:tcW w:w="5954" w:type="dxa"/>
          </w:tcPr>
          <w:p w14:paraId="28A52B3A" w14:textId="77777777" w:rsidR="005D72AE" w:rsidRPr="00844A25"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63781C92"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562" w:type="dxa"/>
          </w:tcPr>
          <w:p w14:paraId="11ECF857" w14:textId="77777777" w:rsidR="005D72AE" w:rsidRPr="00844A25" w:rsidRDefault="005D72AE" w:rsidP="00FA2A1A">
            <w:pPr>
              <w:rPr>
                <w:lang w:val="en-GB"/>
              </w:rPr>
            </w:pPr>
          </w:p>
        </w:tc>
      </w:tr>
      <w:tr w:rsidR="005D72AE" w:rsidRPr="00844A25" w14:paraId="623BD481" w14:textId="77777777" w:rsidTr="00FA2A1A">
        <w:trPr>
          <w:cnfStyle w:val="000000100000" w:firstRow="0" w:lastRow="0" w:firstColumn="0" w:lastColumn="0" w:oddVBand="0" w:evenVBand="0" w:oddHBand="1" w:evenHBand="0" w:firstRowFirstColumn="0" w:firstRowLastColumn="0" w:lastRowFirstColumn="0" w:lastRowLastColumn="0"/>
          <w:trHeight w:val="377"/>
        </w:trPr>
        <w:tc>
          <w:tcPr>
            <w:cnfStyle w:val="000010000000" w:firstRow="0" w:lastRow="0" w:firstColumn="0" w:lastColumn="0" w:oddVBand="1" w:evenVBand="0" w:oddHBand="0" w:evenHBand="0" w:firstRowFirstColumn="0" w:firstRowLastColumn="0" w:lastRowFirstColumn="0" w:lastRowLastColumn="0"/>
            <w:tcW w:w="5954" w:type="dxa"/>
          </w:tcPr>
          <w:p w14:paraId="543F510F" w14:textId="77777777" w:rsidR="005D72AE" w:rsidRPr="005D375E" w:rsidRDefault="005D72AE" w:rsidP="00FA2A1A">
            <w:pPr>
              <w:rPr>
                <w:b/>
                <w:bCs/>
                <w:lang w:val="en-US"/>
              </w:rPr>
            </w:pPr>
            <w:r w:rsidRPr="005D375E">
              <w:rPr>
                <w:b/>
                <w:bCs/>
                <w:lang w:val="en-US"/>
              </w:rPr>
              <w:t>Outsourcing commitments</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1C15853E"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562" w:type="dxa"/>
          </w:tcPr>
          <w:p w14:paraId="00A5585F" w14:textId="77777777" w:rsidR="005D72AE" w:rsidRPr="00844A25" w:rsidRDefault="005D72AE" w:rsidP="00FA2A1A">
            <w:pPr>
              <w:rPr>
                <w:lang w:val="en-GB"/>
              </w:rPr>
            </w:pPr>
          </w:p>
        </w:tc>
      </w:tr>
      <w:tr w:rsidR="005D72AE" w:rsidRPr="00844A25" w14:paraId="506E0C95" w14:textId="77777777" w:rsidTr="00FA2A1A">
        <w:trPr>
          <w:trHeight w:val="352"/>
        </w:trPr>
        <w:tc>
          <w:tcPr>
            <w:cnfStyle w:val="000010000000" w:firstRow="0" w:lastRow="0" w:firstColumn="0" w:lastColumn="0" w:oddVBand="1" w:evenVBand="0" w:oddHBand="0" w:evenHBand="0" w:firstRowFirstColumn="0" w:firstRowLastColumn="0" w:lastRowFirstColumn="0" w:lastRowLastColumn="0"/>
            <w:tcW w:w="5954" w:type="dxa"/>
          </w:tcPr>
          <w:p w14:paraId="2C544836" w14:textId="77777777" w:rsidR="005D72AE" w:rsidRPr="00844A25" w:rsidRDefault="005D72AE" w:rsidP="00FA2A1A">
            <w:pPr>
              <w:rPr>
                <w:lang w:val="en-US"/>
              </w:rPr>
            </w:pPr>
            <w:r w:rsidRPr="00844A25">
              <w:rPr>
                <w:lang w:val="en-US"/>
              </w:rPr>
              <w:t>Information technology services, payable:</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3862FB69"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562" w:type="dxa"/>
          </w:tcPr>
          <w:p w14:paraId="4853C309" w14:textId="77777777" w:rsidR="005D72AE" w:rsidRPr="00844A25" w:rsidRDefault="005D72AE" w:rsidP="00FA2A1A">
            <w:pPr>
              <w:rPr>
                <w:lang w:val="en-GB"/>
              </w:rPr>
            </w:pPr>
          </w:p>
        </w:tc>
      </w:tr>
      <w:tr w:rsidR="005D72AE" w:rsidRPr="00844A25" w14:paraId="5C7796BC" w14:textId="77777777" w:rsidTr="00FA2A1A">
        <w:trPr>
          <w:cnfStyle w:val="000000100000" w:firstRow="0" w:lastRow="0" w:firstColumn="0" w:lastColumn="0" w:oddVBand="0" w:evenVBand="0" w:oddHBand="1" w:evenHBand="0" w:firstRowFirstColumn="0" w:firstRowLastColumn="0" w:lastRowFirstColumn="0" w:lastRowLastColumn="0"/>
          <w:trHeight w:val="352"/>
        </w:trPr>
        <w:tc>
          <w:tcPr>
            <w:cnfStyle w:val="000010000000" w:firstRow="0" w:lastRow="0" w:firstColumn="0" w:lastColumn="0" w:oddVBand="1" w:evenVBand="0" w:oddHBand="0" w:evenHBand="0" w:firstRowFirstColumn="0" w:firstRowLastColumn="0" w:lastRowFirstColumn="0" w:lastRowLastColumn="0"/>
            <w:tcW w:w="5954" w:type="dxa"/>
          </w:tcPr>
          <w:p w14:paraId="28E58194" w14:textId="77777777" w:rsidR="005D72AE" w:rsidRPr="00844A25" w:rsidRDefault="005D72AE" w:rsidP="00FA2A1A">
            <w:pPr>
              <w:rPr>
                <w:lang w:val="en-US"/>
              </w:rPr>
            </w:pPr>
            <w:r w:rsidRPr="00844A25">
              <w:rPr>
                <w:lang w:val="en-US"/>
              </w:rPr>
              <w:t>Within one year</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07A8CF41" w14:textId="77777777" w:rsidR="005D72AE" w:rsidRPr="00844A25" w:rsidRDefault="005D72AE" w:rsidP="00FA2A1A">
            <w:pPr>
              <w:rPr>
                <w:lang w:val="en-US"/>
              </w:rPr>
            </w:pPr>
            <w:r w:rsidRPr="00844A25">
              <w:rPr>
                <w:lang w:val="en-US"/>
              </w:rPr>
              <w:t>454,245</w:t>
            </w:r>
          </w:p>
        </w:tc>
        <w:tc>
          <w:tcPr>
            <w:cnfStyle w:val="000010000000" w:firstRow="0" w:lastRow="0" w:firstColumn="0" w:lastColumn="0" w:oddVBand="1" w:evenVBand="0" w:oddHBand="0" w:evenHBand="0" w:firstRowFirstColumn="0" w:firstRowLastColumn="0" w:lastRowFirstColumn="0" w:lastRowLastColumn="0"/>
            <w:tcW w:w="1562" w:type="dxa"/>
          </w:tcPr>
          <w:p w14:paraId="7223A4D6" w14:textId="77777777" w:rsidR="005D72AE" w:rsidRPr="00844A25" w:rsidRDefault="005D72AE" w:rsidP="00FA2A1A">
            <w:pPr>
              <w:rPr>
                <w:lang w:val="en-US"/>
              </w:rPr>
            </w:pPr>
            <w:r w:rsidRPr="00844A25">
              <w:rPr>
                <w:lang w:val="en-US"/>
              </w:rPr>
              <w:t>480,858</w:t>
            </w:r>
          </w:p>
        </w:tc>
      </w:tr>
      <w:tr w:rsidR="005D72AE" w:rsidRPr="00844A25" w14:paraId="67821F1A" w14:textId="77777777" w:rsidTr="00FA2A1A">
        <w:trPr>
          <w:trHeight w:val="352"/>
        </w:trPr>
        <w:tc>
          <w:tcPr>
            <w:cnfStyle w:val="000010000000" w:firstRow="0" w:lastRow="0" w:firstColumn="0" w:lastColumn="0" w:oddVBand="1" w:evenVBand="0" w:oddHBand="0" w:evenHBand="0" w:firstRowFirstColumn="0" w:firstRowLastColumn="0" w:lastRowFirstColumn="0" w:lastRowLastColumn="0"/>
            <w:tcW w:w="5954" w:type="dxa"/>
          </w:tcPr>
          <w:p w14:paraId="72DE80D6" w14:textId="77777777" w:rsidR="005D72AE" w:rsidRPr="00844A25" w:rsidRDefault="005D72AE" w:rsidP="00FA2A1A">
            <w:pPr>
              <w:rPr>
                <w:lang w:val="en-US"/>
              </w:rPr>
            </w:pPr>
            <w:r w:rsidRPr="00844A25">
              <w:rPr>
                <w:lang w:val="en-US"/>
              </w:rPr>
              <w:t>Later than one year but not later than five years</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5D018A13"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562" w:type="dxa"/>
          </w:tcPr>
          <w:p w14:paraId="1F1AF051" w14:textId="77777777" w:rsidR="005D72AE" w:rsidRPr="00844A25" w:rsidRDefault="005D72AE" w:rsidP="00FA2A1A">
            <w:pPr>
              <w:rPr>
                <w:lang w:val="en-US"/>
              </w:rPr>
            </w:pPr>
            <w:r w:rsidRPr="00844A25">
              <w:rPr>
                <w:lang w:val="en-US"/>
              </w:rPr>
              <w:t>-</w:t>
            </w:r>
          </w:p>
        </w:tc>
      </w:tr>
      <w:tr w:rsidR="005D72AE" w:rsidRPr="00844A25" w14:paraId="47929E79" w14:textId="77777777" w:rsidTr="00FA2A1A">
        <w:trPr>
          <w:cnfStyle w:val="000000100000" w:firstRow="0" w:lastRow="0" w:firstColumn="0" w:lastColumn="0" w:oddVBand="0" w:evenVBand="0" w:oddHBand="1" w:evenHBand="0" w:firstRowFirstColumn="0" w:firstRowLastColumn="0" w:lastRowFirstColumn="0" w:lastRowLastColumn="0"/>
          <w:trHeight w:val="371"/>
        </w:trPr>
        <w:tc>
          <w:tcPr>
            <w:cnfStyle w:val="000010000000" w:firstRow="0" w:lastRow="0" w:firstColumn="0" w:lastColumn="0" w:oddVBand="1" w:evenVBand="0" w:oddHBand="0" w:evenHBand="0" w:firstRowFirstColumn="0" w:firstRowLastColumn="0" w:lastRowFirstColumn="0" w:lastRowLastColumn="0"/>
            <w:tcW w:w="5954" w:type="dxa"/>
          </w:tcPr>
          <w:p w14:paraId="05F013D2" w14:textId="77777777" w:rsidR="005D72AE" w:rsidRPr="00844A25" w:rsidRDefault="005D72AE" w:rsidP="00FA2A1A">
            <w:pPr>
              <w:rPr>
                <w:lang w:val="en-US"/>
              </w:rPr>
            </w:pPr>
            <w:r w:rsidRPr="00844A25">
              <w:rPr>
                <w:lang w:val="en-US"/>
              </w:rPr>
              <w:t>Total commitments (inclusive of GST)</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66351DED" w14:textId="77777777" w:rsidR="005D72AE" w:rsidRPr="00844A25" w:rsidRDefault="005D72AE" w:rsidP="00FA2A1A">
            <w:pPr>
              <w:rPr>
                <w:lang w:val="en-US"/>
              </w:rPr>
            </w:pPr>
            <w:r w:rsidRPr="00844A25">
              <w:rPr>
                <w:lang w:val="en-US"/>
              </w:rPr>
              <w:t>454,245</w:t>
            </w:r>
          </w:p>
        </w:tc>
        <w:tc>
          <w:tcPr>
            <w:cnfStyle w:val="000010000000" w:firstRow="0" w:lastRow="0" w:firstColumn="0" w:lastColumn="0" w:oddVBand="1" w:evenVBand="0" w:oddHBand="0" w:evenHBand="0" w:firstRowFirstColumn="0" w:firstRowLastColumn="0" w:lastRowFirstColumn="0" w:lastRowLastColumn="0"/>
            <w:tcW w:w="1562" w:type="dxa"/>
          </w:tcPr>
          <w:p w14:paraId="1ECA079C" w14:textId="77777777" w:rsidR="005D72AE" w:rsidRPr="00844A25" w:rsidRDefault="005D72AE" w:rsidP="00FA2A1A">
            <w:pPr>
              <w:rPr>
                <w:lang w:val="en-US"/>
              </w:rPr>
            </w:pPr>
            <w:r w:rsidRPr="00844A25">
              <w:rPr>
                <w:lang w:val="en-US"/>
              </w:rPr>
              <w:t>480,858</w:t>
            </w:r>
          </w:p>
        </w:tc>
      </w:tr>
      <w:tr w:rsidR="005D72AE" w:rsidRPr="00844A25" w14:paraId="5928F466" w14:textId="77777777" w:rsidTr="00FA2A1A">
        <w:trPr>
          <w:trHeight w:val="352"/>
        </w:trPr>
        <w:tc>
          <w:tcPr>
            <w:cnfStyle w:val="000010000000" w:firstRow="0" w:lastRow="0" w:firstColumn="0" w:lastColumn="0" w:oddVBand="1" w:evenVBand="0" w:oddHBand="0" w:evenHBand="0" w:firstRowFirstColumn="0" w:firstRowLastColumn="0" w:lastRowFirstColumn="0" w:lastRowLastColumn="0"/>
            <w:tcW w:w="5954" w:type="dxa"/>
          </w:tcPr>
          <w:p w14:paraId="5ED667A4" w14:textId="77777777" w:rsidR="005D72AE" w:rsidRPr="00844A25" w:rsidRDefault="005D72AE" w:rsidP="00FA2A1A">
            <w:pPr>
              <w:rPr>
                <w:lang w:val="en-US"/>
              </w:rPr>
            </w:pPr>
            <w:r w:rsidRPr="00844A25">
              <w:rPr>
                <w:lang w:val="en-US"/>
              </w:rPr>
              <w:t>Less GST recoverable</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6252D6B1" w14:textId="77777777" w:rsidR="005D72AE" w:rsidRPr="00844A25" w:rsidRDefault="005D72AE" w:rsidP="00FA2A1A">
            <w:pPr>
              <w:rPr>
                <w:lang w:val="en-US"/>
              </w:rPr>
            </w:pPr>
            <w:r w:rsidRPr="00844A25">
              <w:rPr>
                <w:lang w:val="en-US"/>
              </w:rPr>
              <w:t>41,295</w:t>
            </w:r>
          </w:p>
        </w:tc>
        <w:tc>
          <w:tcPr>
            <w:cnfStyle w:val="000010000000" w:firstRow="0" w:lastRow="0" w:firstColumn="0" w:lastColumn="0" w:oddVBand="1" w:evenVBand="0" w:oddHBand="0" w:evenHBand="0" w:firstRowFirstColumn="0" w:firstRowLastColumn="0" w:lastRowFirstColumn="0" w:lastRowLastColumn="0"/>
            <w:tcW w:w="1562" w:type="dxa"/>
          </w:tcPr>
          <w:p w14:paraId="1F033585" w14:textId="77777777" w:rsidR="005D72AE" w:rsidRPr="00844A25" w:rsidRDefault="005D72AE" w:rsidP="00FA2A1A">
            <w:pPr>
              <w:rPr>
                <w:lang w:val="en-US"/>
              </w:rPr>
            </w:pPr>
            <w:r w:rsidRPr="00844A25">
              <w:rPr>
                <w:lang w:val="en-US"/>
              </w:rPr>
              <w:t>43,714</w:t>
            </w:r>
          </w:p>
        </w:tc>
      </w:tr>
      <w:tr w:rsidR="005D72AE" w:rsidRPr="00844A25" w14:paraId="3A7AD738" w14:textId="77777777" w:rsidTr="00FA2A1A">
        <w:trPr>
          <w:cnfStyle w:val="000000100000" w:firstRow="0" w:lastRow="0" w:firstColumn="0" w:lastColumn="0" w:oddVBand="0" w:evenVBand="0" w:oddHBand="1" w:evenHBand="0" w:firstRowFirstColumn="0" w:firstRowLastColumn="0" w:lastRowFirstColumn="0" w:lastRowLastColumn="0"/>
          <w:trHeight w:val="352"/>
        </w:trPr>
        <w:tc>
          <w:tcPr>
            <w:cnfStyle w:val="000010000000" w:firstRow="0" w:lastRow="0" w:firstColumn="0" w:lastColumn="0" w:oddVBand="1" w:evenVBand="0" w:oddHBand="0" w:evenHBand="0" w:firstRowFirstColumn="0" w:firstRowLastColumn="0" w:lastRowFirstColumn="0" w:lastRowLastColumn="0"/>
            <w:tcW w:w="5954" w:type="dxa"/>
          </w:tcPr>
          <w:p w14:paraId="1334D908" w14:textId="77777777" w:rsidR="005D72AE" w:rsidRPr="005D375E" w:rsidRDefault="005D72AE" w:rsidP="00FA2A1A">
            <w:pPr>
              <w:rPr>
                <w:b/>
                <w:bCs/>
                <w:lang w:val="en-US"/>
              </w:rPr>
            </w:pPr>
            <w:r w:rsidRPr="005D375E">
              <w:rPr>
                <w:b/>
                <w:bCs/>
                <w:lang w:val="en-US"/>
              </w:rPr>
              <w:t>Total outsourcing commitments (exclusive of GST)</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6D76B190" w14:textId="77777777" w:rsidR="005D72AE" w:rsidRPr="005D375E" w:rsidRDefault="005D72AE" w:rsidP="00FA2A1A">
            <w:pPr>
              <w:rPr>
                <w:b/>
                <w:bCs/>
                <w:lang w:val="en-US"/>
              </w:rPr>
            </w:pPr>
            <w:r w:rsidRPr="005D375E">
              <w:rPr>
                <w:b/>
                <w:bCs/>
                <w:lang w:val="en-US"/>
              </w:rPr>
              <w:t>412,950</w:t>
            </w:r>
          </w:p>
        </w:tc>
        <w:tc>
          <w:tcPr>
            <w:cnfStyle w:val="000010000000" w:firstRow="0" w:lastRow="0" w:firstColumn="0" w:lastColumn="0" w:oddVBand="1" w:evenVBand="0" w:oddHBand="0" w:evenHBand="0" w:firstRowFirstColumn="0" w:firstRowLastColumn="0" w:lastRowFirstColumn="0" w:lastRowLastColumn="0"/>
            <w:tcW w:w="1562" w:type="dxa"/>
          </w:tcPr>
          <w:p w14:paraId="7D86E136" w14:textId="77777777" w:rsidR="005D72AE" w:rsidRPr="005D375E" w:rsidRDefault="005D72AE" w:rsidP="00FA2A1A">
            <w:pPr>
              <w:rPr>
                <w:b/>
                <w:bCs/>
                <w:lang w:val="en-US"/>
              </w:rPr>
            </w:pPr>
            <w:r w:rsidRPr="005D375E">
              <w:rPr>
                <w:b/>
                <w:bCs/>
                <w:lang w:val="en-US"/>
              </w:rPr>
              <w:t>437,144</w:t>
            </w:r>
          </w:p>
        </w:tc>
      </w:tr>
      <w:tr w:rsidR="005D72AE" w:rsidRPr="00844A25" w14:paraId="54E3C827" w14:textId="77777777" w:rsidTr="00FA2A1A">
        <w:trPr>
          <w:trHeight w:val="352"/>
        </w:trPr>
        <w:tc>
          <w:tcPr>
            <w:cnfStyle w:val="000010000000" w:firstRow="0" w:lastRow="0" w:firstColumn="0" w:lastColumn="0" w:oddVBand="1" w:evenVBand="0" w:oddHBand="0" w:evenHBand="0" w:firstRowFirstColumn="0" w:firstRowLastColumn="0" w:lastRowFirstColumn="0" w:lastRowLastColumn="0"/>
            <w:tcW w:w="5954" w:type="dxa"/>
          </w:tcPr>
          <w:p w14:paraId="159F49E6" w14:textId="77777777" w:rsidR="005D72AE" w:rsidRPr="00844A25"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1AE2CC22"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562" w:type="dxa"/>
          </w:tcPr>
          <w:p w14:paraId="09BDE416" w14:textId="77777777" w:rsidR="005D72AE" w:rsidRPr="00844A25" w:rsidRDefault="005D72AE" w:rsidP="00FA2A1A">
            <w:pPr>
              <w:rPr>
                <w:lang w:val="en-GB"/>
              </w:rPr>
            </w:pPr>
          </w:p>
        </w:tc>
      </w:tr>
      <w:tr w:rsidR="005D72AE" w:rsidRPr="00844A25" w14:paraId="1A8A32F3" w14:textId="77777777" w:rsidTr="00FA2A1A">
        <w:trPr>
          <w:cnfStyle w:val="000000100000" w:firstRow="0" w:lastRow="0" w:firstColumn="0" w:lastColumn="0" w:oddVBand="0" w:evenVBand="0" w:oddHBand="1" w:evenHBand="0" w:firstRowFirstColumn="0" w:firstRowLastColumn="0" w:lastRowFirstColumn="0" w:lastRowLastColumn="0"/>
          <w:trHeight w:val="352"/>
        </w:trPr>
        <w:tc>
          <w:tcPr>
            <w:cnfStyle w:val="000010000000" w:firstRow="0" w:lastRow="0" w:firstColumn="0" w:lastColumn="0" w:oddVBand="1" w:evenVBand="0" w:oddHBand="0" w:evenHBand="0" w:firstRowFirstColumn="0" w:firstRowLastColumn="0" w:lastRowFirstColumn="0" w:lastRowLastColumn="0"/>
            <w:tcW w:w="5954" w:type="dxa"/>
          </w:tcPr>
          <w:p w14:paraId="418267CB" w14:textId="77777777" w:rsidR="005D72AE" w:rsidRPr="005D375E" w:rsidRDefault="005D72AE" w:rsidP="00FA2A1A">
            <w:pPr>
              <w:rPr>
                <w:b/>
                <w:bCs/>
                <w:lang w:val="en-US"/>
              </w:rPr>
            </w:pPr>
            <w:r w:rsidRPr="005D375E">
              <w:rPr>
                <w:b/>
                <w:bCs/>
                <w:lang w:val="en-US"/>
              </w:rPr>
              <w:t>Property management services, payable:</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42D4B89A"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562" w:type="dxa"/>
          </w:tcPr>
          <w:p w14:paraId="75BACE53" w14:textId="77777777" w:rsidR="005D72AE" w:rsidRPr="00844A25" w:rsidRDefault="005D72AE" w:rsidP="00FA2A1A">
            <w:pPr>
              <w:rPr>
                <w:lang w:val="en-GB"/>
              </w:rPr>
            </w:pPr>
          </w:p>
        </w:tc>
      </w:tr>
      <w:tr w:rsidR="005D72AE" w:rsidRPr="00844A25" w14:paraId="39AC777F" w14:textId="77777777" w:rsidTr="00FA2A1A">
        <w:trPr>
          <w:trHeight w:val="352"/>
        </w:trPr>
        <w:tc>
          <w:tcPr>
            <w:cnfStyle w:val="000010000000" w:firstRow="0" w:lastRow="0" w:firstColumn="0" w:lastColumn="0" w:oddVBand="1" w:evenVBand="0" w:oddHBand="0" w:evenHBand="0" w:firstRowFirstColumn="0" w:firstRowLastColumn="0" w:lastRowFirstColumn="0" w:lastRowLastColumn="0"/>
            <w:tcW w:w="5954" w:type="dxa"/>
          </w:tcPr>
          <w:p w14:paraId="42D1643A" w14:textId="77777777" w:rsidR="005D72AE" w:rsidRPr="00844A25" w:rsidRDefault="005D72AE" w:rsidP="00FA2A1A">
            <w:pPr>
              <w:rPr>
                <w:lang w:val="en-US"/>
              </w:rPr>
            </w:pPr>
            <w:r w:rsidRPr="00844A25">
              <w:rPr>
                <w:lang w:val="en-US"/>
              </w:rPr>
              <w:t>Within one year</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75FED7A3" w14:textId="77777777" w:rsidR="005D72AE" w:rsidRPr="00844A25" w:rsidRDefault="005D72AE" w:rsidP="00FA2A1A">
            <w:pPr>
              <w:rPr>
                <w:lang w:val="en-US"/>
              </w:rPr>
            </w:pPr>
            <w:r w:rsidRPr="00844A25">
              <w:rPr>
                <w:lang w:val="en-US"/>
              </w:rPr>
              <w:t>1,062,544</w:t>
            </w:r>
          </w:p>
        </w:tc>
        <w:tc>
          <w:tcPr>
            <w:cnfStyle w:val="000010000000" w:firstRow="0" w:lastRow="0" w:firstColumn="0" w:lastColumn="0" w:oddVBand="1" w:evenVBand="0" w:oddHBand="0" w:evenHBand="0" w:firstRowFirstColumn="0" w:firstRowLastColumn="0" w:lastRowFirstColumn="0" w:lastRowLastColumn="0"/>
            <w:tcW w:w="1562" w:type="dxa"/>
          </w:tcPr>
          <w:p w14:paraId="4CA38EDC" w14:textId="77777777" w:rsidR="005D72AE" w:rsidRPr="00844A25" w:rsidRDefault="005D72AE" w:rsidP="00FA2A1A">
            <w:pPr>
              <w:rPr>
                <w:lang w:val="en-US"/>
              </w:rPr>
            </w:pPr>
            <w:r w:rsidRPr="00844A25">
              <w:rPr>
                <w:lang w:val="en-US"/>
              </w:rPr>
              <w:t>-</w:t>
            </w:r>
          </w:p>
        </w:tc>
      </w:tr>
      <w:tr w:rsidR="005D72AE" w:rsidRPr="00844A25" w14:paraId="25A52563" w14:textId="77777777" w:rsidTr="00FA2A1A">
        <w:trPr>
          <w:cnfStyle w:val="000000100000" w:firstRow="0" w:lastRow="0" w:firstColumn="0" w:lastColumn="0" w:oddVBand="0" w:evenVBand="0" w:oddHBand="1" w:evenHBand="0" w:firstRowFirstColumn="0" w:firstRowLastColumn="0" w:lastRowFirstColumn="0" w:lastRowLastColumn="0"/>
          <w:trHeight w:val="352"/>
        </w:trPr>
        <w:tc>
          <w:tcPr>
            <w:cnfStyle w:val="000010000000" w:firstRow="0" w:lastRow="0" w:firstColumn="0" w:lastColumn="0" w:oddVBand="1" w:evenVBand="0" w:oddHBand="0" w:evenHBand="0" w:firstRowFirstColumn="0" w:firstRowLastColumn="0" w:lastRowFirstColumn="0" w:lastRowLastColumn="0"/>
            <w:tcW w:w="5954" w:type="dxa"/>
          </w:tcPr>
          <w:p w14:paraId="28711A5B" w14:textId="77777777" w:rsidR="005D72AE" w:rsidRPr="00844A25" w:rsidRDefault="005D72AE" w:rsidP="00FA2A1A">
            <w:pPr>
              <w:rPr>
                <w:lang w:val="en-US"/>
              </w:rPr>
            </w:pPr>
            <w:r w:rsidRPr="00844A25">
              <w:rPr>
                <w:lang w:val="en-US"/>
              </w:rPr>
              <w:t>Later than one year but not later than five years</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160CD905" w14:textId="77777777" w:rsidR="005D72AE" w:rsidRPr="00844A25" w:rsidRDefault="005D72AE" w:rsidP="00FA2A1A">
            <w:pPr>
              <w:rPr>
                <w:lang w:val="en-US"/>
              </w:rPr>
            </w:pPr>
            <w:r w:rsidRPr="00844A25">
              <w:rPr>
                <w:lang w:val="en-US"/>
              </w:rPr>
              <w:t>729,463</w:t>
            </w:r>
          </w:p>
        </w:tc>
        <w:tc>
          <w:tcPr>
            <w:cnfStyle w:val="000010000000" w:firstRow="0" w:lastRow="0" w:firstColumn="0" w:lastColumn="0" w:oddVBand="1" w:evenVBand="0" w:oddHBand="0" w:evenHBand="0" w:firstRowFirstColumn="0" w:firstRowLastColumn="0" w:lastRowFirstColumn="0" w:lastRowLastColumn="0"/>
            <w:tcW w:w="1562" w:type="dxa"/>
          </w:tcPr>
          <w:p w14:paraId="05EE64FE" w14:textId="77777777" w:rsidR="005D72AE" w:rsidRPr="00844A25" w:rsidRDefault="005D72AE" w:rsidP="00FA2A1A">
            <w:pPr>
              <w:rPr>
                <w:lang w:val="en-US"/>
              </w:rPr>
            </w:pPr>
            <w:r w:rsidRPr="00844A25">
              <w:rPr>
                <w:lang w:val="en-US"/>
              </w:rPr>
              <w:t>-</w:t>
            </w:r>
          </w:p>
        </w:tc>
      </w:tr>
      <w:tr w:rsidR="005D72AE" w:rsidRPr="00844A25" w14:paraId="57040F9B" w14:textId="77777777" w:rsidTr="00FA2A1A">
        <w:trPr>
          <w:trHeight w:val="352"/>
        </w:trPr>
        <w:tc>
          <w:tcPr>
            <w:cnfStyle w:val="000010000000" w:firstRow="0" w:lastRow="0" w:firstColumn="0" w:lastColumn="0" w:oddVBand="1" w:evenVBand="0" w:oddHBand="0" w:evenHBand="0" w:firstRowFirstColumn="0" w:firstRowLastColumn="0" w:lastRowFirstColumn="0" w:lastRowLastColumn="0"/>
            <w:tcW w:w="5954" w:type="dxa"/>
          </w:tcPr>
          <w:p w14:paraId="4B981AE2" w14:textId="77777777" w:rsidR="005D72AE" w:rsidRPr="00844A25" w:rsidRDefault="005D72AE" w:rsidP="00FA2A1A">
            <w:pPr>
              <w:rPr>
                <w:lang w:val="en-US"/>
              </w:rPr>
            </w:pPr>
            <w:r w:rsidRPr="00844A25">
              <w:rPr>
                <w:lang w:val="en-US"/>
              </w:rPr>
              <w:t>Total commitments (inclusive of GST)</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254C3ABA" w14:textId="77777777" w:rsidR="005D72AE" w:rsidRPr="00844A25" w:rsidRDefault="005D72AE" w:rsidP="00FA2A1A">
            <w:pPr>
              <w:rPr>
                <w:lang w:val="en-US"/>
              </w:rPr>
            </w:pPr>
            <w:r w:rsidRPr="00844A25">
              <w:rPr>
                <w:lang w:val="en-US"/>
              </w:rPr>
              <w:t>1,792,007</w:t>
            </w:r>
          </w:p>
        </w:tc>
        <w:tc>
          <w:tcPr>
            <w:cnfStyle w:val="000010000000" w:firstRow="0" w:lastRow="0" w:firstColumn="0" w:lastColumn="0" w:oddVBand="1" w:evenVBand="0" w:oddHBand="0" w:evenHBand="0" w:firstRowFirstColumn="0" w:firstRowLastColumn="0" w:lastRowFirstColumn="0" w:lastRowLastColumn="0"/>
            <w:tcW w:w="1562" w:type="dxa"/>
          </w:tcPr>
          <w:p w14:paraId="7875B740" w14:textId="77777777" w:rsidR="005D72AE" w:rsidRPr="00844A25" w:rsidRDefault="005D72AE" w:rsidP="00FA2A1A">
            <w:pPr>
              <w:rPr>
                <w:lang w:val="en-US"/>
              </w:rPr>
            </w:pPr>
            <w:r w:rsidRPr="00844A25">
              <w:rPr>
                <w:lang w:val="en-US"/>
              </w:rPr>
              <w:t>-</w:t>
            </w:r>
          </w:p>
        </w:tc>
      </w:tr>
      <w:tr w:rsidR="005D72AE" w:rsidRPr="00844A25" w14:paraId="3E006395" w14:textId="77777777" w:rsidTr="00FA2A1A">
        <w:trPr>
          <w:cnfStyle w:val="000000100000" w:firstRow="0" w:lastRow="0" w:firstColumn="0" w:lastColumn="0" w:oddVBand="0" w:evenVBand="0" w:oddHBand="1" w:evenHBand="0" w:firstRowFirstColumn="0" w:firstRowLastColumn="0" w:lastRowFirstColumn="0" w:lastRowLastColumn="0"/>
          <w:trHeight w:val="352"/>
        </w:trPr>
        <w:tc>
          <w:tcPr>
            <w:cnfStyle w:val="000010000000" w:firstRow="0" w:lastRow="0" w:firstColumn="0" w:lastColumn="0" w:oddVBand="1" w:evenVBand="0" w:oddHBand="0" w:evenHBand="0" w:firstRowFirstColumn="0" w:firstRowLastColumn="0" w:lastRowFirstColumn="0" w:lastRowLastColumn="0"/>
            <w:tcW w:w="5954" w:type="dxa"/>
          </w:tcPr>
          <w:p w14:paraId="51D782CD" w14:textId="77777777" w:rsidR="005D72AE" w:rsidRPr="00844A25" w:rsidRDefault="005D72AE" w:rsidP="00FA2A1A">
            <w:pPr>
              <w:rPr>
                <w:lang w:val="en-US"/>
              </w:rPr>
            </w:pPr>
            <w:r w:rsidRPr="00844A25">
              <w:rPr>
                <w:lang w:val="en-US"/>
              </w:rPr>
              <w:t>Less GST recoverable</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53C1D5FA" w14:textId="77777777" w:rsidR="005D72AE" w:rsidRPr="00844A25" w:rsidRDefault="005D72AE" w:rsidP="00FA2A1A">
            <w:pPr>
              <w:rPr>
                <w:lang w:val="en-US"/>
              </w:rPr>
            </w:pPr>
            <w:r w:rsidRPr="00844A25">
              <w:rPr>
                <w:lang w:val="en-US"/>
              </w:rPr>
              <w:t>162,910</w:t>
            </w:r>
          </w:p>
        </w:tc>
        <w:tc>
          <w:tcPr>
            <w:cnfStyle w:val="000010000000" w:firstRow="0" w:lastRow="0" w:firstColumn="0" w:lastColumn="0" w:oddVBand="1" w:evenVBand="0" w:oddHBand="0" w:evenHBand="0" w:firstRowFirstColumn="0" w:firstRowLastColumn="0" w:lastRowFirstColumn="0" w:lastRowLastColumn="0"/>
            <w:tcW w:w="1562" w:type="dxa"/>
          </w:tcPr>
          <w:p w14:paraId="4E3ABA0D" w14:textId="77777777" w:rsidR="005D72AE" w:rsidRPr="00844A25" w:rsidRDefault="005D72AE" w:rsidP="00FA2A1A">
            <w:pPr>
              <w:rPr>
                <w:lang w:val="en-US"/>
              </w:rPr>
            </w:pPr>
            <w:r w:rsidRPr="00844A25">
              <w:rPr>
                <w:lang w:val="en-US"/>
              </w:rPr>
              <w:t>-</w:t>
            </w:r>
          </w:p>
        </w:tc>
      </w:tr>
      <w:tr w:rsidR="005D72AE" w:rsidRPr="00844A25" w14:paraId="3AC5CFFC" w14:textId="77777777" w:rsidTr="00FA2A1A">
        <w:trPr>
          <w:trHeight w:val="352"/>
        </w:trPr>
        <w:tc>
          <w:tcPr>
            <w:cnfStyle w:val="000010000000" w:firstRow="0" w:lastRow="0" w:firstColumn="0" w:lastColumn="0" w:oddVBand="1" w:evenVBand="0" w:oddHBand="0" w:evenHBand="0" w:firstRowFirstColumn="0" w:firstRowLastColumn="0" w:lastRowFirstColumn="0" w:lastRowLastColumn="0"/>
            <w:tcW w:w="5954" w:type="dxa"/>
          </w:tcPr>
          <w:p w14:paraId="2FF92352" w14:textId="77777777" w:rsidR="005D72AE" w:rsidRPr="005D375E" w:rsidRDefault="005D72AE" w:rsidP="00FA2A1A">
            <w:pPr>
              <w:rPr>
                <w:b/>
                <w:bCs/>
                <w:lang w:val="en-US"/>
              </w:rPr>
            </w:pPr>
            <w:r w:rsidRPr="005D375E">
              <w:rPr>
                <w:b/>
                <w:bCs/>
                <w:lang w:val="en-US"/>
              </w:rPr>
              <w:t>Total outsourcing commitments (exclusive of GST)</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F2F2F2" w:themeFill="background1" w:themeFillShade="F2"/>
          </w:tcPr>
          <w:p w14:paraId="03CCD29D" w14:textId="77777777" w:rsidR="005D72AE" w:rsidRPr="005D375E" w:rsidRDefault="005D72AE" w:rsidP="00FA2A1A">
            <w:pPr>
              <w:rPr>
                <w:b/>
                <w:bCs/>
                <w:lang w:val="en-US"/>
              </w:rPr>
            </w:pPr>
            <w:r w:rsidRPr="005D375E">
              <w:rPr>
                <w:b/>
                <w:bCs/>
                <w:lang w:val="en-US"/>
              </w:rPr>
              <w:t>1,629,097</w:t>
            </w:r>
          </w:p>
        </w:tc>
        <w:tc>
          <w:tcPr>
            <w:cnfStyle w:val="000010000000" w:firstRow="0" w:lastRow="0" w:firstColumn="0" w:lastColumn="0" w:oddVBand="1" w:evenVBand="0" w:oddHBand="0" w:evenHBand="0" w:firstRowFirstColumn="0" w:firstRowLastColumn="0" w:lastRowFirstColumn="0" w:lastRowLastColumn="0"/>
            <w:tcW w:w="1562" w:type="dxa"/>
          </w:tcPr>
          <w:p w14:paraId="63B891FF" w14:textId="77777777" w:rsidR="005D72AE" w:rsidRPr="005D375E" w:rsidRDefault="005D72AE" w:rsidP="00FA2A1A">
            <w:pPr>
              <w:rPr>
                <w:b/>
                <w:bCs/>
                <w:lang w:val="en-US"/>
              </w:rPr>
            </w:pPr>
            <w:r w:rsidRPr="005D375E">
              <w:rPr>
                <w:b/>
                <w:bCs/>
                <w:lang w:val="en-US"/>
              </w:rPr>
              <w:t>-</w:t>
            </w:r>
          </w:p>
        </w:tc>
      </w:tr>
    </w:tbl>
    <w:p w14:paraId="51C8C30C" w14:textId="77777777" w:rsidR="005D72AE" w:rsidRPr="00844A25" w:rsidRDefault="005D72AE" w:rsidP="005D72AE">
      <w:pPr>
        <w:rPr>
          <w:lang w:val="en-US"/>
        </w:rPr>
      </w:pPr>
    </w:p>
    <w:tbl>
      <w:tblPr>
        <w:tblStyle w:val="PlainTable2"/>
        <w:tblW w:w="9059" w:type="dxa"/>
        <w:tblInd w:w="-5" w:type="dxa"/>
        <w:tblLayout w:type="fixed"/>
        <w:tblLook w:val="0000" w:firstRow="0" w:lastRow="0" w:firstColumn="0" w:lastColumn="0" w:noHBand="0" w:noVBand="0"/>
      </w:tblPr>
      <w:tblGrid>
        <w:gridCol w:w="6277"/>
        <w:gridCol w:w="1391"/>
        <w:gridCol w:w="1391"/>
      </w:tblGrid>
      <w:tr w:rsidR="005D72AE" w:rsidRPr="00844A25" w14:paraId="1B2884D8" w14:textId="77777777" w:rsidTr="00FA2A1A">
        <w:trPr>
          <w:cnfStyle w:val="000000100000" w:firstRow="0" w:lastRow="0" w:firstColumn="0" w:lastColumn="0" w:oddVBand="0" w:evenVBand="0" w:oddHBand="1" w:evenHBand="0" w:firstRowFirstColumn="0" w:firstRowLastColumn="0" w:lastRowFirstColumn="0" w:lastRowLastColumn="0"/>
          <w:trHeight w:val="550"/>
        </w:trPr>
        <w:tc>
          <w:tcPr>
            <w:cnfStyle w:val="000010000000" w:firstRow="0" w:lastRow="0" w:firstColumn="0" w:lastColumn="0" w:oddVBand="1" w:evenVBand="0" w:oddHBand="0" w:evenHBand="0" w:firstRowFirstColumn="0" w:firstRowLastColumn="0" w:lastRowFirstColumn="0" w:lastRowLastColumn="0"/>
            <w:tcW w:w="6277" w:type="dxa"/>
          </w:tcPr>
          <w:p w14:paraId="1DEF8EA9" w14:textId="77777777" w:rsidR="005D72AE" w:rsidRPr="005D375E" w:rsidRDefault="005D72AE" w:rsidP="00FA2A1A">
            <w:pPr>
              <w:rPr>
                <w:b/>
                <w:bCs/>
                <w:lang w:val="en-US"/>
              </w:rPr>
            </w:pPr>
            <w:r w:rsidRPr="005D375E">
              <w:rPr>
                <w:b/>
                <w:bCs/>
                <w:lang w:val="en-US"/>
              </w:rPr>
              <w:t xml:space="preserve">Operating lease commitments </w:t>
            </w:r>
            <w:r w:rsidRPr="005D375E">
              <w:rPr>
                <w:b/>
                <w:bCs/>
                <w:vertAlign w:val="superscript"/>
                <w:lang w:val="en-US"/>
              </w:rPr>
              <w:t>(a)</w:t>
            </w:r>
          </w:p>
        </w:tc>
        <w:tc>
          <w:tcPr>
            <w:cnfStyle w:val="000001000000" w:firstRow="0" w:lastRow="0" w:firstColumn="0" w:lastColumn="0" w:oddVBand="0" w:evenVBand="1" w:oddHBand="0" w:evenHBand="0" w:firstRowFirstColumn="0" w:firstRowLastColumn="0" w:lastRowFirstColumn="0" w:lastRowLastColumn="0"/>
            <w:tcW w:w="1391" w:type="dxa"/>
          </w:tcPr>
          <w:p w14:paraId="0A40A112"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391" w:type="dxa"/>
          </w:tcPr>
          <w:p w14:paraId="6C6FE170" w14:textId="77777777" w:rsidR="005D72AE" w:rsidRPr="00844A25" w:rsidRDefault="005D72AE" w:rsidP="00FA2A1A">
            <w:pPr>
              <w:rPr>
                <w:lang w:val="en-GB"/>
              </w:rPr>
            </w:pPr>
          </w:p>
        </w:tc>
      </w:tr>
      <w:tr w:rsidR="005D72AE" w:rsidRPr="00844A25" w14:paraId="4F48E2E0" w14:textId="77777777" w:rsidTr="00FA2A1A">
        <w:trPr>
          <w:trHeight w:val="550"/>
        </w:trPr>
        <w:tc>
          <w:tcPr>
            <w:cnfStyle w:val="000010000000" w:firstRow="0" w:lastRow="0" w:firstColumn="0" w:lastColumn="0" w:oddVBand="1" w:evenVBand="0" w:oddHBand="0" w:evenHBand="0" w:firstRowFirstColumn="0" w:firstRowLastColumn="0" w:lastRowFirstColumn="0" w:lastRowLastColumn="0"/>
            <w:tcW w:w="6277" w:type="dxa"/>
          </w:tcPr>
          <w:p w14:paraId="7C7D0F62" w14:textId="77777777" w:rsidR="005D72AE" w:rsidRPr="00844A25" w:rsidRDefault="005D72AE" w:rsidP="00FA2A1A">
            <w:pPr>
              <w:rPr>
                <w:lang w:val="en-US"/>
              </w:rPr>
            </w:pPr>
            <w:r w:rsidRPr="00844A25">
              <w:rPr>
                <w:lang w:val="en-US"/>
              </w:rPr>
              <w:t>Commitments for minimum lease payments in relation to non-cancellable operating leases, not recognised as liabilities, are payable as follows:</w:t>
            </w:r>
          </w:p>
        </w:tc>
        <w:tc>
          <w:tcPr>
            <w:cnfStyle w:val="000001000000" w:firstRow="0" w:lastRow="0" w:firstColumn="0" w:lastColumn="0" w:oddVBand="0" w:evenVBand="1" w:oddHBand="0" w:evenHBand="0" w:firstRowFirstColumn="0" w:firstRowLastColumn="0" w:lastRowFirstColumn="0" w:lastRowLastColumn="0"/>
            <w:tcW w:w="1391" w:type="dxa"/>
          </w:tcPr>
          <w:p w14:paraId="64C4164A"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391" w:type="dxa"/>
          </w:tcPr>
          <w:p w14:paraId="5198001B" w14:textId="77777777" w:rsidR="005D72AE" w:rsidRPr="00844A25" w:rsidRDefault="005D72AE" w:rsidP="00FA2A1A">
            <w:pPr>
              <w:rPr>
                <w:lang w:val="en-GB"/>
              </w:rPr>
            </w:pPr>
          </w:p>
        </w:tc>
      </w:tr>
      <w:tr w:rsidR="005D72AE" w:rsidRPr="00844A25" w14:paraId="51BE7491" w14:textId="77777777" w:rsidTr="00FA2A1A">
        <w:trPr>
          <w:cnfStyle w:val="000000100000" w:firstRow="0" w:lastRow="0" w:firstColumn="0" w:lastColumn="0" w:oddVBand="0" w:evenVBand="0" w:oddHBand="1" w:evenHBand="0" w:firstRowFirstColumn="0" w:firstRowLastColumn="0" w:lastRowFirstColumn="0" w:lastRowLastColumn="0"/>
          <w:trHeight w:val="550"/>
        </w:trPr>
        <w:tc>
          <w:tcPr>
            <w:cnfStyle w:val="000010000000" w:firstRow="0" w:lastRow="0" w:firstColumn="0" w:lastColumn="0" w:oddVBand="1" w:evenVBand="0" w:oddHBand="0" w:evenHBand="0" w:firstRowFirstColumn="0" w:firstRowLastColumn="0" w:lastRowFirstColumn="0" w:lastRowLastColumn="0"/>
            <w:tcW w:w="6277" w:type="dxa"/>
          </w:tcPr>
          <w:p w14:paraId="3A3487C3" w14:textId="77777777" w:rsidR="005D72AE" w:rsidRPr="00844A25" w:rsidRDefault="005D72AE" w:rsidP="00FA2A1A">
            <w:pPr>
              <w:rPr>
                <w:lang w:val="en-US"/>
              </w:rPr>
            </w:pPr>
            <w:r w:rsidRPr="00844A25">
              <w:rPr>
                <w:lang w:val="en-US"/>
              </w:rPr>
              <w:t>Within one year</w:t>
            </w:r>
          </w:p>
        </w:tc>
        <w:tc>
          <w:tcPr>
            <w:cnfStyle w:val="000001000000" w:firstRow="0" w:lastRow="0" w:firstColumn="0" w:lastColumn="0" w:oddVBand="0" w:evenVBand="1" w:oddHBand="0" w:evenHBand="0" w:firstRowFirstColumn="0" w:firstRowLastColumn="0" w:lastRowFirstColumn="0" w:lastRowLastColumn="0"/>
            <w:tcW w:w="1391" w:type="dxa"/>
          </w:tcPr>
          <w:p w14:paraId="0C491C42"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391" w:type="dxa"/>
          </w:tcPr>
          <w:p w14:paraId="6BCDD056" w14:textId="77777777" w:rsidR="005D72AE" w:rsidRPr="00844A25" w:rsidRDefault="005D72AE" w:rsidP="00FA2A1A">
            <w:pPr>
              <w:rPr>
                <w:lang w:val="en-US"/>
              </w:rPr>
            </w:pPr>
            <w:r w:rsidRPr="00844A25">
              <w:rPr>
                <w:lang w:val="en-US"/>
              </w:rPr>
              <w:t>921,338</w:t>
            </w:r>
          </w:p>
        </w:tc>
      </w:tr>
      <w:tr w:rsidR="005D72AE" w:rsidRPr="00844A25" w14:paraId="3E88ABC9" w14:textId="77777777" w:rsidTr="00FA2A1A">
        <w:trPr>
          <w:trHeight w:val="550"/>
        </w:trPr>
        <w:tc>
          <w:tcPr>
            <w:cnfStyle w:val="000010000000" w:firstRow="0" w:lastRow="0" w:firstColumn="0" w:lastColumn="0" w:oddVBand="1" w:evenVBand="0" w:oddHBand="0" w:evenHBand="0" w:firstRowFirstColumn="0" w:firstRowLastColumn="0" w:lastRowFirstColumn="0" w:lastRowLastColumn="0"/>
            <w:tcW w:w="6277" w:type="dxa"/>
          </w:tcPr>
          <w:p w14:paraId="128ACC4D" w14:textId="77777777" w:rsidR="005D72AE" w:rsidRPr="00844A25" w:rsidRDefault="005D72AE" w:rsidP="00FA2A1A">
            <w:pPr>
              <w:rPr>
                <w:lang w:val="en-US"/>
              </w:rPr>
            </w:pPr>
            <w:r w:rsidRPr="00844A25">
              <w:rPr>
                <w:lang w:val="en-US"/>
              </w:rPr>
              <w:lastRenderedPageBreak/>
              <w:t>Later than one year but not later than five years</w:t>
            </w:r>
          </w:p>
        </w:tc>
        <w:tc>
          <w:tcPr>
            <w:cnfStyle w:val="000001000000" w:firstRow="0" w:lastRow="0" w:firstColumn="0" w:lastColumn="0" w:oddVBand="0" w:evenVBand="1" w:oddHBand="0" w:evenHBand="0" w:firstRowFirstColumn="0" w:firstRowLastColumn="0" w:lastRowFirstColumn="0" w:lastRowLastColumn="0"/>
            <w:tcW w:w="1391" w:type="dxa"/>
          </w:tcPr>
          <w:p w14:paraId="71CC4F7B"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391" w:type="dxa"/>
          </w:tcPr>
          <w:p w14:paraId="461213A6" w14:textId="77777777" w:rsidR="005D72AE" w:rsidRPr="00844A25" w:rsidRDefault="005D72AE" w:rsidP="00FA2A1A">
            <w:pPr>
              <w:rPr>
                <w:lang w:val="en-US"/>
              </w:rPr>
            </w:pPr>
            <w:r w:rsidRPr="00844A25">
              <w:rPr>
                <w:lang w:val="en-US"/>
              </w:rPr>
              <w:t>1,608,881</w:t>
            </w:r>
          </w:p>
        </w:tc>
      </w:tr>
      <w:tr w:rsidR="005D72AE" w:rsidRPr="00844A25" w14:paraId="030D3775" w14:textId="77777777" w:rsidTr="00FA2A1A">
        <w:trPr>
          <w:cnfStyle w:val="000000100000" w:firstRow="0" w:lastRow="0" w:firstColumn="0" w:lastColumn="0" w:oddVBand="0" w:evenVBand="0" w:oddHBand="1" w:evenHBand="0" w:firstRowFirstColumn="0" w:firstRowLastColumn="0" w:lastRowFirstColumn="0" w:lastRowLastColumn="0"/>
          <w:trHeight w:val="550"/>
        </w:trPr>
        <w:tc>
          <w:tcPr>
            <w:cnfStyle w:val="000010000000" w:firstRow="0" w:lastRow="0" w:firstColumn="0" w:lastColumn="0" w:oddVBand="1" w:evenVBand="0" w:oddHBand="0" w:evenHBand="0" w:firstRowFirstColumn="0" w:firstRowLastColumn="0" w:lastRowFirstColumn="0" w:lastRowLastColumn="0"/>
            <w:tcW w:w="6277" w:type="dxa"/>
          </w:tcPr>
          <w:p w14:paraId="1C3307C0" w14:textId="77777777" w:rsidR="005D72AE" w:rsidRPr="005D375E" w:rsidRDefault="005D72AE" w:rsidP="00FA2A1A">
            <w:pPr>
              <w:rPr>
                <w:b/>
                <w:bCs/>
                <w:lang w:val="en-US"/>
              </w:rPr>
            </w:pPr>
            <w:r w:rsidRPr="005D375E">
              <w:rPr>
                <w:b/>
                <w:bCs/>
                <w:lang w:val="en-US"/>
              </w:rPr>
              <w:t>Total operating lease commitments exclusive of GST</w:t>
            </w:r>
          </w:p>
        </w:tc>
        <w:tc>
          <w:tcPr>
            <w:cnfStyle w:val="000001000000" w:firstRow="0" w:lastRow="0" w:firstColumn="0" w:lastColumn="0" w:oddVBand="0" w:evenVBand="1" w:oddHBand="0" w:evenHBand="0" w:firstRowFirstColumn="0" w:firstRowLastColumn="0" w:lastRowFirstColumn="0" w:lastRowLastColumn="0"/>
            <w:tcW w:w="1391" w:type="dxa"/>
          </w:tcPr>
          <w:p w14:paraId="6CBD2065" w14:textId="77777777" w:rsidR="005D72AE" w:rsidRPr="005D375E" w:rsidRDefault="005D72AE" w:rsidP="00FA2A1A">
            <w:pPr>
              <w:rPr>
                <w:b/>
                <w:bCs/>
                <w:lang w:val="en-US"/>
              </w:rPr>
            </w:pPr>
            <w:r w:rsidRPr="005D375E">
              <w:rPr>
                <w:b/>
                <w:bCs/>
                <w:lang w:val="en-US"/>
              </w:rPr>
              <w:t>-</w:t>
            </w:r>
          </w:p>
        </w:tc>
        <w:tc>
          <w:tcPr>
            <w:cnfStyle w:val="000010000000" w:firstRow="0" w:lastRow="0" w:firstColumn="0" w:lastColumn="0" w:oddVBand="1" w:evenVBand="0" w:oddHBand="0" w:evenHBand="0" w:firstRowFirstColumn="0" w:firstRowLastColumn="0" w:lastRowFirstColumn="0" w:lastRowLastColumn="0"/>
            <w:tcW w:w="1391" w:type="dxa"/>
          </w:tcPr>
          <w:p w14:paraId="2E90C61E" w14:textId="77777777" w:rsidR="005D72AE" w:rsidRPr="005D375E" w:rsidRDefault="005D72AE" w:rsidP="00FA2A1A">
            <w:pPr>
              <w:rPr>
                <w:b/>
                <w:bCs/>
                <w:lang w:val="en-US"/>
              </w:rPr>
            </w:pPr>
            <w:r w:rsidRPr="005D375E">
              <w:rPr>
                <w:b/>
                <w:bCs/>
                <w:lang w:val="en-US"/>
              </w:rPr>
              <w:t>2,530,219</w:t>
            </w:r>
          </w:p>
        </w:tc>
      </w:tr>
    </w:tbl>
    <w:p w14:paraId="2D152CB7" w14:textId="77777777" w:rsidR="005D72AE" w:rsidRPr="00844A25" w:rsidRDefault="005D72AE" w:rsidP="005D72AE">
      <w:pPr>
        <w:rPr>
          <w:lang w:val="en-US"/>
        </w:rPr>
      </w:pPr>
      <w:r w:rsidRPr="00844A25">
        <w:rPr>
          <w:i/>
          <w:iCs/>
          <w:lang w:val="en-US"/>
        </w:rPr>
        <w:t>(a) Operating lease commitments for 2019 financial year mainly relate to an accommodation lease contract. This contract does not allow for the commission to purchase the property at the expiry of the tenancy. Following the implementation of the CAM strategy, this arrangement is recorded in DTF’s administered balance sheet as lease liabilities at 30 June 2020 as described in Note 9.2.1.</w:t>
      </w:r>
    </w:p>
    <w:p w14:paraId="20613E94" w14:textId="77777777" w:rsidR="005D72AE" w:rsidRPr="00844A25" w:rsidRDefault="005D72AE" w:rsidP="005D72AE">
      <w:pPr>
        <w:rPr>
          <w:lang w:val="en-US"/>
        </w:rPr>
      </w:pPr>
      <w:r w:rsidRPr="00844A25">
        <w:rPr>
          <w:lang w:val="en-US"/>
        </w:rPr>
        <w:t>Commitments for future expenditure include capital and outsourcing commitments arising from contracts. These commitments are disclosed at their nominal value and inclusive of GST payable. In addition, where</w:t>
      </w:r>
      <w:r>
        <w:rPr>
          <w:lang w:val="en-US"/>
        </w:rPr>
        <w:t xml:space="preserve"> </w:t>
      </w:r>
      <w:r w:rsidRPr="00844A25">
        <w:rPr>
          <w:lang w:val="en-US"/>
        </w:rPr>
        <w:t>it is considered appropriate and provides additional relevant information to users, the net present values</w:t>
      </w:r>
      <w:r>
        <w:rPr>
          <w:lang w:val="en-US"/>
        </w:rPr>
        <w:t xml:space="preserve"> </w:t>
      </w:r>
      <w:r w:rsidRPr="00844A25">
        <w:rPr>
          <w:lang w:val="en-US"/>
        </w:rPr>
        <w:t>of significant individual projects are stated. These future expenditures cease to be disclosed as commitments once the related liabilities are recognised in the balance sheet.</w:t>
      </w:r>
    </w:p>
    <w:p w14:paraId="4DAA72EE" w14:textId="77777777" w:rsidR="005D72AE" w:rsidRDefault="005D72AE" w:rsidP="005D72AE">
      <w:pPr>
        <w:pStyle w:val="Heading2"/>
      </w:pPr>
      <w:bookmarkStart w:id="20" w:name="_Toc58869010"/>
      <w:r w:rsidRPr="00844A25">
        <w:t>Note 8. Risks, contingencies and valuation judgements</w:t>
      </w:r>
      <w:bookmarkEnd w:id="20"/>
    </w:p>
    <w:p w14:paraId="1F07F306" w14:textId="77777777" w:rsidR="005D72AE" w:rsidRDefault="005D72AE" w:rsidP="005D72AE">
      <w:pPr>
        <w:rPr>
          <w:lang w:val="en-US"/>
        </w:rPr>
      </w:pPr>
      <w:r w:rsidRPr="00844A25">
        <w:rPr>
          <w:lang w:val="en-US"/>
        </w:rPr>
        <w:t>The commission is exposed to risk from</w:t>
      </w:r>
      <w:r>
        <w:rPr>
          <w:lang w:val="en-US"/>
        </w:rPr>
        <w:t xml:space="preserve"> </w:t>
      </w:r>
      <w:r w:rsidRPr="00844A25">
        <w:rPr>
          <w:lang w:val="en-US"/>
        </w:rPr>
        <w:t>its activities and outside factors. In addition, it is often necessary to make judgements and estimates associated with recognition and measurement of items in the financial statements. This section sets out financial instrument specific information, (including exposures to financial risks) as well as those items that are contingent in nature or require</w:t>
      </w:r>
      <w:r>
        <w:rPr>
          <w:lang w:val="en-US"/>
        </w:rPr>
        <w:t xml:space="preserve"> </w:t>
      </w:r>
      <w:r w:rsidRPr="00844A25">
        <w:rPr>
          <w:lang w:val="en-US"/>
        </w:rPr>
        <w:t>a higher level of judgement to be applied,</w:t>
      </w:r>
      <w:r>
        <w:rPr>
          <w:lang w:val="en-US"/>
        </w:rPr>
        <w:t xml:space="preserve"> </w:t>
      </w:r>
      <w:r w:rsidRPr="00844A25">
        <w:rPr>
          <w:lang w:val="en-US"/>
        </w:rPr>
        <w:t>which for the commission related mainly</w:t>
      </w:r>
      <w:r>
        <w:rPr>
          <w:lang w:val="en-US"/>
        </w:rPr>
        <w:t xml:space="preserve"> </w:t>
      </w:r>
      <w:r w:rsidRPr="00844A25">
        <w:rPr>
          <w:lang w:val="en-US"/>
        </w:rPr>
        <w:t>to fair value determination.</w:t>
      </w:r>
    </w:p>
    <w:p w14:paraId="0F02E980" w14:textId="77777777" w:rsidR="005D72AE" w:rsidRPr="00844A25" w:rsidRDefault="005D72AE" w:rsidP="005D72AE">
      <w:pPr>
        <w:rPr>
          <w:lang w:val="en-US"/>
        </w:rPr>
      </w:pPr>
      <w:r w:rsidRPr="00844A25">
        <w:rPr>
          <w:lang w:val="en-US"/>
        </w:rPr>
        <w:t>8.1. Financial instruments specific disclosures</w:t>
      </w:r>
    </w:p>
    <w:p w14:paraId="7DC48F70" w14:textId="77777777" w:rsidR="005D72AE" w:rsidRPr="00844A25" w:rsidRDefault="005D72AE" w:rsidP="005D72AE">
      <w:pPr>
        <w:ind w:left="720"/>
        <w:rPr>
          <w:lang w:val="en-US"/>
        </w:rPr>
      </w:pPr>
      <w:r w:rsidRPr="00844A25">
        <w:rPr>
          <w:lang w:val="en-US"/>
        </w:rPr>
        <w:t>8.1.1.</w:t>
      </w:r>
      <w:r>
        <w:rPr>
          <w:lang w:val="en-US"/>
        </w:rPr>
        <w:t xml:space="preserve">  </w:t>
      </w:r>
      <w:r w:rsidRPr="00844A25">
        <w:rPr>
          <w:lang w:val="en-US"/>
        </w:rPr>
        <w:t>Categorisation of financial instruments</w:t>
      </w:r>
    </w:p>
    <w:p w14:paraId="78BFC7E0" w14:textId="77777777" w:rsidR="005D72AE" w:rsidRPr="00844A25" w:rsidRDefault="005D72AE" w:rsidP="005D72AE">
      <w:pPr>
        <w:ind w:left="720"/>
        <w:rPr>
          <w:lang w:val="en-US"/>
        </w:rPr>
      </w:pPr>
      <w:r w:rsidRPr="00844A25">
        <w:rPr>
          <w:lang w:val="en-US"/>
        </w:rPr>
        <w:t>8.1.2.</w:t>
      </w:r>
      <w:r>
        <w:rPr>
          <w:lang w:val="en-US"/>
        </w:rPr>
        <w:t xml:space="preserve">  </w:t>
      </w:r>
      <w:r w:rsidRPr="00844A25">
        <w:rPr>
          <w:lang w:val="en-US"/>
        </w:rPr>
        <w:t>Net holding gain/(loss) on financial instruments by category</w:t>
      </w:r>
    </w:p>
    <w:p w14:paraId="7063D6E1" w14:textId="77777777" w:rsidR="005D72AE" w:rsidRPr="00844A25" w:rsidRDefault="005D72AE" w:rsidP="005D72AE">
      <w:pPr>
        <w:ind w:left="720"/>
        <w:rPr>
          <w:lang w:val="en-US"/>
        </w:rPr>
      </w:pPr>
      <w:r w:rsidRPr="00844A25">
        <w:rPr>
          <w:lang w:val="en-US"/>
        </w:rPr>
        <w:t>8.1.3.</w:t>
      </w:r>
      <w:r>
        <w:rPr>
          <w:lang w:val="en-US"/>
        </w:rPr>
        <w:t xml:space="preserve">  </w:t>
      </w:r>
      <w:r w:rsidRPr="00844A25">
        <w:rPr>
          <w:lang w:val="en-US"/>
        </w:rPr>
        <w:t>Financial risk management objectives and policies</w:t>
      </w:r>
    </w:p>
    <w:p w14:paraId="41377557" w14:textId="77777777" w:rsidR="005D72AE" w:rsidRPr="00A43042" w:rsidRDefault="005D72AE" w:rsidP="005D72AE">
      <w:pPr>
        <w:rPr>
          <w:lang w:val="en-US"/>
        </w:rPr>
      </w:pPr>
      <w:r w:rsidRPr="00844A25">
        <w:rPr>
          <w:lang w:val="en-US"/>
        </w:rPr>
        <w:t>8.2. Contingent assets and contingent liabilities</w:t>
      </w:r>
    </w:p>
    <w:p w14:paraId="079D7156" w14:textId="77777777" w:rsidR="005D72AE" w:rsidRPr="00844A25" w:rsidRDefault="005D72AE" w:rsidP="005D72AE">
      <w:pPr>
        <w:pStyle w:val="Heading3"/>
      </w:pPr>
      <w:r w:rsidRPr="00844A25">
        <w:t>8.1. Financial instruments specific disclosures</w:t>
      </w:r>
    </w:p>
    <w:p w14:paraId="3E11A4D8" w14:textId="77777777" w:rsidR="005D72AE" w:rsidRPr="00844A25" w:rsidRDefault="005D72AE" w:rsidP="005D72AE">
      <w:pPr>
        <w:rPr>
          <w:lang w:val="en-US"/>
        </w:rPr>
      </w:pPr>
      <w:r w:rsidRPr="00844A25">
        <w:rPr>
          <w:lang w:val="en-US"/>
        </w:rPr>
        <w:t xml:space="preserve">Financial instruments arise out of contractual agreements that give rise to a financial asset of one entity and a financial liability or equity instrument of another entity. Due to the nature of the commission’s activities, certain financial assets and financial liabilities arise under statute rather than a contract. Such financial assets and financial liabilities do not meet the definition of financial instruments in AASB 132 </w:t>
      </w:r>
      <w:r w:rsidRPr="00844A25">
        <w:rPr>
          <w:i/>
          <w:iCs/>
          <w:lang w:val="en-US"/>
        </w:rPr>
        <w:t>Financial Instruments: Presentation</w:t>
      </w:r>
      <w:r w:rsidRPr="00844A25">
        <w:rPr>
          <w:lang w:val="en-US"/>
        </w:rPr>
        <w:t>. For example, statutory receivables arising do not meet the definition of financial instruments</w:t>
      </w:r>
      <w:r>
        <w:rPr>
          <w:lang w:val="en-US"/>
        </w:rPr>
        <w:t xml:space="preserve"> </w:t>
      </w:r>
      <w:r w:rsidRPr="00844A25">
        <w:rPr>
          <w:lang w:val="en-US"/>
        </w:rPr>
        <w:t xml:space="preserve">as they do not arise under contract. </w:t>
      </w:r>
    </w:p>
    <w:p w14:paraId="45EDB993" w14:textId="77777777" w:rsidR="005D72AE" w:rsidRPr="00844A25" w:rsidRDefault="005D72AE" w:rsidP="005D72AE">
      <w:pPr>
        <w:pStyle w:val="Heading4"/>
      </w:pPr>
      <w:r w:rsidRPr="00844A25">
        <w:t>Categories of financial assets</w:t>
      </w:r>
    </w:p>
    <w:p w14:paraId="4BF524B4" w14:textId="77777777" w:rsidR="005D72AE" w:rsidRPr="00844A25" w:rsidRDefault="005D72AE" w:rsidP="005D72AE">
      <w:pPr>
        <w:pStyle w:val="Heading4"/>
      </w:pPr>
      <w:r w:rsidRPr="00844A25">
        <w:t>Financial assets at amortised cost</w:t>
      </w:r>
    </w:p>
    <w:p w14:paraId="168DE13D" w14:textId="77777777" w:rsidR="005D72AE" w:rsidRPr="00844A25" w:rsidRDefault="005D72AE" w:rsidP="005D72AE">
      <w:pPr>
        <w:rPr>
          <w:lang w:val="en-US"/>
        </w:rPr>
      </w:pPr>
      <w:r w:rsidRPr="00844A25">
        <w:rPr>
          <w:lang w:val="en-US"/>
        </w:rPr>
        <w:t>Financial assets are measured at amortised costs if both of the following criteria are met and the assets</w:t>
      </w:r>
      <w:r>
        <w:rPr>
          <w:lang w:val="en-US"/>
        </w:rPr>
        <w:t xml:space="preserve"> </w:t>
      </w:r>
      <w:r w:rsidRPr="00844A25">
        <w:rPr>
          <w:lang w:val="en-US"/>
        </w:rPr>
        <w:t>are not designated as fair value through net result:</w:t>
      </w:r>
    </w:p>
    <w:p w14:paraId="5C069E73" w14:textId="77777777" w:rsidR="005D72AE" w:rsidRPr="00844A25" w:rsidRDefault="005D72AE" w:rsidP="005D72AE">
      <w:pPr>
        <w:rPr>
          <w:lang w:val="en-US"/>
        </w:rPr>
      </w:pPr>
      <w:r w:rsidRPr="00844A25">
        <w:rPr>
          <w:lang w:val="en-US"/>
        </w:rPr>
        <w:lastRenderedPageBreak/>
        <w:t>the assets are held by the commission to collect the contractual cash flows, and</w:t>
      </w:r>
    </w:p>
    <w:p w14:paraId="04F991F3" w14:textId="77777777" w:rsidR="005D72AE" w:rsidRPr="00844A25" w:rsidRDefault="005D72AE" w:rsidP="005D72AE">
      <w:pPr>
        <w:rPr>
          <w:lang w:val="en-US"/>
        </w:rPr>
      </w:pPr>
      <w:r w:rsidRPr="00844A25">
        <w:rPr>
          <w:lang w:val="en-US"/>
        </w:rPr>
        <w:t>the assets’ contractual terms give rise to cash flows that are solely payments of principal and interests.</w:t>
      </w:r>
    </w:p>
    <w:p w14:paraId="7560C787" w14:textId="77777777" w:rsidR="005D72AE" w:rsidRPr="00844A25" w:rsidRDefault="005D72AE" w:rsidP="005D72AE">
      <w:pPr>
        <w:rPr>
          <w:lang w:val="en-US"/>
        </w:rPr>
      </w:pPr>
      <w:r w:rsidRPr="00844A25">
        <w:rPr>
          <w:lang w:val="en-US"/>
        </w:rPr>
        <w:t>These assets are initially recognised at fair value plus any directly attributable transaction costs and subsequently measured at amortised cost using the effective interest method less any impairment.</w:t>
      </w:r>
    </w:p>
    <w:p w14:paraId="1CD38559" w14:textId="77777777" w:rsidR="005D72AE" w:rsidRPr="00844A25" w:rsidRDefault="005D72AE" w:rsidP="005D72AE">
      <w:pPr>
        <w:rPr>
          <w:lang w:val="en-US"/>
        </w:rPr>
      </w:pPr>
      <w:r w:rsidRPr="00844A25">
        <w:rPr>
          <w:lang w:val="en-US"/>
        </w:rPr>
        <w:t>The commission recognises the following assets in this category:</w:t>
      </w:r>
    </w:p>
    <w:p w14:paraId="79AF722F" w14:textId="77777777" w:rsidR="005D72AE" w:rsidRPr="00844A25" w:rsidRDefault="005D72AE" w:rsidP="005D72AE">
      <w:pPr>
        <w:rPr>
          <w:lang w:val="en-US"/>
        </w:rPr>
      </w:pPr>
      <w:r w:rsidRPr="00844A25">
        <w:rPr>
          <w:lang w:val="en-US"/>
        </w:rPr>
        <w:t>debtors.</w:t>
      </w:r>
    </w:p>
    <w:p w14:paraId="5ABC6085" w14:textId="77777777" w:rsidR="005D72AE" w:rsidRPr="00844A25" w:rsidRDefault="005D72AE" w:rsidP="005D72AE">
      <w:pPr>
        <w:pStyle w:val="Heading4"/>
      </w:pPr>
      <w:r w:rsidRPr="00844A25">
        <w:t>Categories of financial liabilities</w:t>
      </w:r>
    </w:p>
    <w:p w14:paraId="07CFBA71" w14:textId="77777777" w:rsidR="005D72AE" w:rsidRPr="00844A25" w:rsidRDefault="005D72AE" w:rsidP="005D72AE">
      <w:pPr>
        <w:pStyle w:val="Heading5"/>
      </w:pPr>
      <w:r w:rsidRPr="00844A25">
        <w:t>Financial liabilities at amortised cost</w:t>
      </w:r>
    </w:p>
    <w:p w14:paraId="473038A6" w14:textId="77777777" w:rsidR="005D72AE" w:rsidRPr="00844A25" w:rsidRDefault="005D72AE" w:rsidP="005D72AE">
      <w:pPr>
        <w:rPr>
          <w:lang w:val="en-US"/>
        </w:rPr>
      </w:pPr>
      <w:r w:rsidRPr="00844A25">
        <w:rPr>
          <w:lang w:val="en-US"/>
        </w:rPr>
        <w:t>Financial instrument liabilities are initially recognised on the date they are originated. They are initially measured at fair value plus any directly attributable transaction costs. Subsequent to initial recognition, these financial instruments are measured at amortised cost with any difference between the initial recognised amount and the redemption value being recognised in profit and loss over the period of the interest-bearing liability, using the effective interest rate method.</w:t>
      </w:r>
    </w:p>
    <w:p w14:paraId="1FFA099B" w14:textId="77777777" w:rsidR="005D72AE" w:rsidRPr="00844A25" w:rsidRDefault="005D72AE" w:rsidP="005D72AE">
      <w:pPr>
        <w:rPr>
          <w:lang w:val="en-US"/>
        </w:rPr>
      </w:pPr>
      <w:r w:rsidRPr="00844A25">
        <w:rPr>
          <w:lang w:val="en-US"/>
        </w:rPr>
        <w:t>The commission recognises the following liabilities in this category:</w:t>
      </w:r>
    </w:p>
    <w:p w14:paraId="564F35DB" w14:textId="77777777" w:rsidR="005D72AE" w:rsidRPr="00844A25" w:rsidRDefault="005D72AE" w:rsidP="005D72AE">
      <w:pPr>
        <w:pStyle w:val="ListBullet"/>
        <w:numPr>
          <w:ilvl w:val="0"/>
          <w:numId w:val="1"/>
        </w:numPr>
        <w:spacing w:before="0" w:after="180"/>
        <w:rPr>
          <w:lang w:val="en-US"/>
        </w:rPr>
      </w:pPr>
      <w:r w:rsidRPr="00844A25">
        <w:rPr>
          <w:lang w:val="en-US"/>
        </w:rPr>
        <w:t>creditors and accruals.</w:t>
      </w:r>
    </w:p>
    <w:p w14:paraId="37D1F564" w14:textId="77777777" w:rsidR="005D72AE" w:rsidRPr="00844A25" w:rsidRDefault="005D72AE" w:rsidP="005D72AE">
      <w:pPr>
        <w:pStyle w:val="Heading5"/>
      </w:pPr>
      <w:r w:rsidRPr="00844A25">
        <w:t>Offsetting financial instruments</w:t>
      </w:r>
    </w:p>
    <w:p w14:paraId="0CBFC736" w14:textId="77777777" w:rsidR="005D72AE" w:rsidRPr="00844A25" w:rsidRDefault="005D72AE" w:rsidP="005D72AE">
      <w:pPr>
        <w:rPr>
          <w:lang w:val="en-US"/>
        </w:rPr>
      </w:pPr>
      <w:r w:rsidRPr="00844A25">
        <w:rPr>
          <w:lang w:val="en-US"/>
        </w:rPr>
        <w:t>Financial instrument assets and liabilities are offset and the net amount presented in the balance sheet when, and only when, the commission concerned has a legal right to offset the amounts and intend either to settle on a net basis or to realise the asset and settle the liability simultaneously.</w:t>
      </w:r>
    </w:p>
    <w:p w14:paraId="344A19D7" w14:textId="77777777" w:rsidR="005D72AE" w:rsidRPr="00844A25" w:rsidRDefault="005D72AE" w:rsidP="005D72AE">
      <w:pPr>
        <w:pStyle w:val="Heading4"/>
      </w:pPr>
      <w:r w:rsidRPr="00844A25">
        <w:t>8.1.1. Categorisation of financial instruments</w:t>
      </w:r>
    </w:p>
    <w:tbl>
      <w:tblPr>
        <w:tblStyle w:val="PlainTable2"/>
        <w:tblW w:w="9137" w:type="dxa"/>
        <w:tblLayout w:type="fixed"/>
        <w:tblLook w:val="0020" w:firstRow="1" w:lastRow="0" w:firstColumn="0" w:lastColumn="0" w:noHBand="0" w:noVBand="0"/>
      </w:tblPr>
      <w:tblGrid>
        <w:gridCol w:w="2122"/>
        <w:gridCol w:w="999"/>
        <w:gridCol w:w="3214"/>
        <w:gridCol w:w="1401"/>
        <w:gridCol w:w="1401"/>
      </w:tblGrid>
      <w:tr w:rsidR="005D72AE" w:rsidRPr="00844A25" w14:paraId="6E751A8B" w14:textId="77777777" w:rsidTr="00FA2A1A">
        <w:trPr>
          <w:cnfStyle w:val="100000000000" w:firstRow="1" w:lastRow="0" w:firstColumn="0" w:lastColumn="0" w:oddVBand="0" w:evenVBand="0" w:oddHBand="0" w:evenHBand="0" w:firstRowFirstColumn="0" w:firstRowLastColumn="0" w:lastRowFirstColumn="0" w:lastRowLastColumn="0"/>
          <w:trHeight w:val="411"/>
        </w:trPr>
        <w:tc>
          <w:tcPr>
            <w:cnfStyle w:val="000010000000" w:firstRow="0" w:lastRow="0" w:firstColumn="0" w:lastColumn="0" w:oddVBand="1" w:evenVBand="0" w:oddHBand="0" w:evenHBand="0" w:firstRowFirstColumn="0" w:firstRowLastColumn="0" w:lastRowFirstColumn="0" w:lastRowLastColumn="0"/>
            <w:tcW w:w="2122" w:type="dxa"/>
          </w:tcPr>
          <w:p w14:paraId="19CE21ED" w14:textId="77777777" w:rsidR="005D72AE" w:rsidRPr="007A0475"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999" w:type="dxa"/>
          </w:tcPr>
          <w:p w14:paraId="13F84C41" w14:textId="77777777" w:rsidR="005D72AE" w:rsidRPr="007A047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3214" w:type="dxa"/>
          </w:tcPr>
          <w:p w14:paraId="37921435" w14:textId="77777777" w:rsidR="005D72AE" w:rsidRPr="007A0475"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2802" w:type="dxa"/>
            <w:gridSpan w:val="2"/>
          </w:tcPr>
          <w:p w14:paraId="7A1E10BD" w14:textId="77777777" w:rsidR="005D72AE" w:rsidRPr="007A0475" w:rsidRDefault="005D72AE" w:rsidP="00FA2A1A">
            <w:pPr>
              <w:rPr>
                <w:lang w:val="en-US"/>
              </w:rPr>
            </w:pPr>
            <w:r w:rsidRPr="007A0475">
              <w:rPr>
                <w:lang w:val="en-US"/>
              </w:rPr>
              <w:t>Carrying amount</w:t>
            </w:r>
          </w:p>
        </w:tc>
      </w:tr>
      <w:tr w:rsidR="005D72AE" w:rsidRPr="00844A25" w14:paraId="0309860E" w14:textId="77777777" w:rsidTr="00FA2A1A">
        <w:trPr>
          <w:cnfStyle w:val="000000100000" w:firstRow="0" w:lastRow="0" w:firstColumn="0" w:lastColumn="0" w:oddVBand="0" w:evenVBand="0" w:oddHBand="1" w:evenHBand="0" w:firstRowFirstColumn="0" w:firstRowLastColumn="0" w:lastRowFirstColumn="0" w:lastRowLastColumn="0"/>
          <w:trHeight w:val="516"/>
        </w:trPr>
        <w:tc>
          <w:tcPr>
            <w:cnfStyle w:val="000010000000" w:firstRow="0" w:lastRow="0" w:firstColumn="0" w:lastColumn="0" w:oddVBand="1" w:evenVBand="0" w:oddHBand="0" w:evenHBand="0" w:firstRowFirstColumn="0" w:firstRowLastColumn="0" w:lastRowFirstColumn="0" w:lastRowLastColumn="0"/>
            <w:tcW w:w="2122" w:type="dxa"/>
          </w:tcPr>
          <w:p w14:paraId="1D883851" w14:textId="77777777" w:rsidR="005D72AE" w:rsidRPr="007A0475"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999" w:type="dxa"/>
          </w:tcPr>
          <w:p w14:paraId="0DE52B9C" w14:textId="77777777" w:rsidR="005D72AE" w:rsidRPr="007A0475"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3214" w:type="dxa"/>
          </w:tcPr>
          <w:p w14:paraId="2BC6AB48" w14:textId="77777777" w:rsidR="005D72AE" w:rsidRPr="007A0475"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401" w:type="dxa"/>
            <w:shd w:val="clear" w:color="auto" w:fill="F2F2F2" w:themeFill="background1" w:themeFillShade="F2"/>
          </w:tcPr>
          <w:p w14:paraId="7FA5B80D" w14:textId="77777777" w:rsidR="005D72AE" w:rsidRPr="007A0475" w:rsidRDefault="005D72AE" w:rsidP="00FA2A1A">
            <w:pPr>
              <w:rPr>
                <w:b/>
                <w:bCs/>
                <w:lang w:val="en-US"/>
              </w:rPr>
            </w:pPr>
            <w:r w:rsidRPr="007A0475">
              <w:rPr>
                <w:b/>
                <w:bCs/>
                <w:lang w:val="en-US"/>
              </w:rPr>
              <w:t>2020</w:t>
            </w:r>
          </w:p>
        </w:tc>
        <w:tc>
          <w:tcPr>
            <w:cnfStyle w:val="000010000000" w:firstRow="0" w:lastRow="0" w:firstColumn="0" w:lastColumn="0" w:oddVBand="1" w:evenVBand="0" w:oddHBand="0" w:evenHBand="0" w:firstRowFirstColumn="0" w:firstRowLastColumn="0" w:lastRowFirstColumn="0" w:lastRowLastColumn="0"/>
            <w:tcW w:w="1401" w:type="dxa"/>
          </w:tcPr>
          <w:p w14:paraId="1392D531" w14:textId="77777777" w:rsidR="005D72AE" w:rsidRPr="007A0475" w:rsidRDefault="005D72AE" w:rsidP="00FA2A1A">
            <w:pPr>
              <w:rPr>
                <w:b/>
                <w:bCs/>
                <w:lang w:val="en-US"/>
              </w:rPr>
            </w:pPr>
            <w:r w:rsidRPr="007A0475">
              <w:rPr>
                <w:b/>
                <w:bCs/>
                <w:lang w:val="en-US"/>
              </w:rPr>
              <w:t>2019</w:t>
            </w:r>
          </w:p>
        </w:tc>
      </w:tr>
      <w:tr w:rsidR="005D72AE" w:rsidRPr="00844A25" w14:paraId="4D01AE90" w14:textId="77777777" w:rsidTr="00FA2A1A">
        <w:trPr>
          <w:trHeight w:val="414"/>
        </w:trPr>
        <w:tc>
          <w:tcPr>
            <w:cnfStyle w:val="000010000000" w:firstRow="0" w:lastRow="0" w:firstColumn="0" w:lastColumn="0" w:oddVBand="1" w:evenVBand="0" w:oddHBand="0" w:evenHBand="0" w:firstRowFirstColumn="0" w:firstRowLastColumn="0" w:lastRowFirstColumn="0" w:lastRowLastColumn="0"/>
            <w:tcW w:w="2122" w:type="dxa"/>
          </w:tcPr>
          <w:p w14:paraId="1F6884FB" w14:textId="77777777" w:rsidR="005D72AE" w:rsidRPr="007A0475" w:rsidRDefault="005D72AE" w:rsidP="00FA2A1A">
            <w:pPr>
              <w:rPr>
                <w:b/>
                <w:bCs/>
                <w:lang w:val="en-US"/>
              </w:rPr>
            </w:pPr>
            <w:r w:rsidRPr="007A0475">
              <w:rPr>
                <w:b/>
                <w:bCs/>
                <w:lang w:val="en-US"/>
              </w:rPr>
              <w:t>Financial assets</w:t>
            </w:r>
          </w:p>
        </w:tc>
        <w:tc>
          <w:tcPr>
            <w:cnfStyle w:val="000001000000" w:firstRow="0" w:lastRow="0" w:firstColumn="0" w:lastColumn="0" w:oddVBand="0" w:evenVBand="1" w:oddHBand="0" w:evenHBand="0" w:firstRowFirstColumn="0" w:firstRowLastColumn="0" w:lastRowFirstColumn="0" w:lastRowLastColumn="0"/>
            <w:tcW w:w="999" w:type="dxa"/>
          </w:tcPr>
          <w:p w14:paraId="07C24604" w14:textId="77777777" w:rsidR="005D72AE" w:rsidRPr="007A0475" w:rsidRDefault="005D72AE" w:rsidP="00FA2A1A">
            <w:pPr>
              <w:rPr>
                <w:b/>
                <w:bCs/>
                <w:lang w:val="en-US"/>
              </w:rPr>
            </w:pPr>
            <w:r w:rsidRPr="007A0475">
              <w:rPr>
                <w:b/>
                <w:bCs/>
                <w:lang w:val="en-US"/>
              </w:rPr>
              <w:t>Note</w:t>
            </w:r>
          </w:p>
        </w:tc>
        <w:tc>
          <w:tcPr>
            <w:cnfStyle w:val="000010000000" w:firstRow="0" w:lastRow="0" w:firstColumn="0" w:lastColumn="0" w:oddVBand="1" w:evenVBand="0" w:oddHBand="0" w:evenHBand="0" w:firstRowFirstColumn="0" w:firstRowLastColumn="0" w:lastRowFirstColumn="0" w:lastRowLastColumn="0"/>
            <w:tcW w:w="3214" w:type="dxa"/>
          </w:tcPr>
          <w:p w14:paraId="4304ADBE" w14:textId="77777777" w:rsidR="005D72AE" w:rsidRPr="007A0475" w:rsidRDefault="005D72AE" w:rsidP="00FA2A1A">
            <w:pPr>
              <w:rPr>
                <w:b/>
                <w:bCs/>
                <w:lang w:val="en-US"/>
              </w:rPr>
            </w:pPr>
            <w:r w:rsidRPr="007A0475">
              <w:rPr>
                <w:b/>
                <w:bCs/>
                <w:lang w:val="en-US"/>
              </w:rPr>
              <w:t>Category</w:t>
            </w:r>
          </w:p>
        </w:tc>
        <w:tc>
          <w:tcPr>
            <w:cnfStyle w:val="000001000000" w:firstRow="0" w:lastRow="0" w:firstColumn="0" w:lastColumn="0" w:oddVBand="0" w:evenVBand="1" w:oddHBand="0" w:evenHBand="0" w:firstRowFirstColumn="0" w:firstRowLastColumn="0" w:lastRowFirstColumn="0" w:lastRowLastColumn="0"/>
            <w:tcW w:w="1401" w:type="dxa"/>
            <w:shd w:val="clear" w:color="auto" w:fill="F2F2F2" w:themeFill="background1" w:themeFillShade="F2"/>
          </w:tcPr>
          <w:p w14:paraId="258A24E5" w14:textId="77777777" w:rsidR="005D72AE" w:rsidRPr="007A0475" w:rsidRDefault="005D72AE" w:rsidP="00FA2A1A">
            <w:pPr>
              <w:rPr>
                <w:b/>
                <w:bCs/>
                <w:lang w:val="en-US"/>
              </w:rPr>
            </w:pPr>
            <w:r w:rsidRPr="007A0475">
              <w:rPr>
                <w:b/>
                <w:bCs/>
                <w:lang w:val="en-US"/>
              </w:rPr>
              <w:t>$</w:t>
            </w:r>
          </w:p>
        </w:tc>
        <w:tc>
          <w:tcPr>
            <w:cnfStyle w:val="000010000000" w:firstRow="0" w:lastRow="0" w:firstColumn="0" w:lastColumn="0" w:oddVBand="1" w:evenVBand="0" w:oddHBand="0" w:evenHBand="0" w:firstRowFirstColumn="0" w:firstRowLastColumn="0" w:lastRowFirstColumn="0" w:lastRowLastColumn="0"/>
            <w:tcW w:w="1401" w:type="dxa"/>
          </w:tcPr>
          <w:p w14:paraId="3FB63AFC" w14:textId="77777777" w:rsidR="005D72AE" w:rsidRPr="007A0475" w:rsidRDefault="005D72AE" w:rsidP="00FA2A1A">
            <w:pPr>
              <w:rPr>
                <w:b/>
                <w:bCs/>
                <w:lang w:val="en-US"/>
              </w:rPr>
            </w:pPr>
            <w:r w:rsidRPr="007A0475">
              <w:rPr>
                <w:b/>
                <w:bCs/>
                <w:lang w:val="en-US"/>
              </w:rPr>
              <w:t>$</w:t>
            </w:r>
          </w:p>
        </w:tc>
      </w:tr>
      <w:tr w:rsidR="005D72AE" w:rsidRPr="00844A25" w14:paraId="48085737" w14:textId="77777777" w:rsidTr="00FA2A1A">
        <w:trPr>
          <w:cnfStyle w:val="000000100000" w:firstRow="0" w:lastRow="0" w:firstColumn="0" w:lastColumn="0" w:oddVBand="0" w:evenVBand="0" w:oddHBand="1" w:evenHBand="0" w:firstRowFirstColumn="0" w:firstRowLastColumn="0" w:lastRowFirstColumn="0" w:lastRowLastColumn="0"/>
          <w:trHeight w:val="411"/>
        </w:trPr>
        <w:tc>
          <w:tcPr>
            <w:cnfStyle w:val="000010000000" w:firstRow="0" w:lastRow="0" w:firstColumn="0" w:lastColumn="0" w:oddVBand="1" w:evenVBand="0" w:oddHBand="0" w:evenHBand="0" w:firstRowFirstColumn="0" w:firstRowLastColumn="0" w:lastRowFirstColumn="0" w:lastRowLastColumn="0"/>
            <w:tcW w:w="2122" w:type="dxa"/>
          </w:tcPr>
          <w:p w14:paraId="54929C0F" w14:textId="77777777" w:rsidR="005D72AE" w:rsidRPr="00844A25" w:rsidRDefault="005D72AE" w:rsidP="00FA2A1A">
            <w:pPr>
              <w:rPr>
                <w:lang w:val="en-US"/>
              </w:rPr>
            </w:pPr>
            <w:r w:rsidRPr="00844A25">
              <w:rPr>
                <w:lang w:val="en-US"/>
              </w:rPr>
              <w:t>Receivables*</w:t>
            </w:r>
          </w:p>
        </w:tc>
        <w:tc>
          <w:tcPr>
            <w:cnfStyle w:val="000001000000" w:firstRow="0" w:lastRow="0" w:firstColumn="0" w:lastColumn="0" w:oddVBand="0" w:evenVBand="1" w:oddHBand="0" w:evenHBand="0" w:firstRowFirstColumn="0" w:firstRowLastColumn="0" w:lastRowFirstColumn="0" w:lastRowLastColumn="0"/>
            <w:tcW w:w="999" w:type="dxa"/>
          </w:tcPr>
          <w:p w14:paraId="1779CBCF" w14:textId="77777777" w:rsidR="005D72AE" w:rsidRPr="00844A25" w:rsidRDefault="005D72AE" w:rsidP="00FA2A1A">
            <w:pPr>
              <w:rPr>
                <w:lang w:val="en-US"/>
              </w:rPr>
            </w:pPr>
            <w:r w:rsidRPr="00844A25">
              <w:rPr>
                <w:lang w:val="en-US"/>
              </w:rPr>
              <w:t>6.1</w:t>
            </w:r>
          </w:p>
        </w:tc>
        <w:tc>
          <w:tcPr>
            <w:cnfStyle w:val="000010000000" w:firstRow="0" w:lastRow="0" w:firstColumn="0" w:lastColumn="0" w:oddVBand="1" w:evenVBand="0" w:oddHBand="0" w:evenHBand="0" w:firstRowFirstColumn="0" w:firstRowLastColumn="0" w:lastRowFirstColumn="0" w:lastRowLastColumn="0"/>
            <w:tcW w:w="3214" w:type="dxa"/>
          </w:tcPr>
          <w:p w14:paraId="368C8E4E" w14:textId="77777777" w:rsidR="005D72AE" w:rsidRPr="00844A25" w:rsidRDefault="005D72AE" w:rsidP="00FA2A1A">
            <w:pPr>
              <w:rPr>
                <w:lang w:val="en-US"/>
              </w:rPr>
            </w:pPr>
            <w:r w:rsidRPr="00844A25">
              <w:rPr>
                <w:lang w:val="en-US"/>
              </w:rPr>
              <w:t>Financial assets at amortised cost</w:t>
            </w:r>
          </w:p>
        </w:tc>
        <w:tc>
          <w:tcPr>
            <w:cnfStyle w:val="000001000000" w:firstRow="0" w:lastRow="0" w:firstColumn="0" w:lastColumn="0" w:oddVBand="0" w:evenVBand="1" w:oddHBand="0" w:evenHBand="0" w:firstRowFirstColumn="0" w:firstRowLastColumn="0" w:lastRowFirstColumn="0" w:lastRowLastColumn="0"/>
            <w:tcW w:w="1401" w:type="dxa"/>
            <w:shd w:val="clear" w:color="auto" w:fill="F2F2F2" w:themeFill="background1" w:themeFillShade="F2"/>
          </w:tcPr>
          <w:p w14:paraId="493C1276" w14:textId="77777777" w:rsidR="005D72AE" w:rsidRPr="00844A25" w:rsidRDefault="005D72AE" w:rsidP="00FA2A1A">
            <w:pPr>
              <w:rPr>
                <w:lang w:val="en-US"/>
              </w:rPr>
            </w:pPr>
            <w:r w:rsidRPr="00844A25">
              <w:rPr>
                <w:lang w:val="en-US"/>
              </w:rPr>
              <w:t>2,710</w:t>
            </w:r>
          </w:p>
        </w:tc>
        <w:tc>
          <w:tcPr>
            <w:cnfStyle w:val="000010000000" w:firstRow="0" w:lastRow="0" w:firstColumn="0" w:lastColumn="0" w:oddVBand="1" w:evenVBand="0" w:oddHBand="0" w:evenHBand="0" w:firstRowFirstColumn="0" w:firstRowLastColumn="0" w:lastRowFirstColumn="0" w:lastRowLastColumn="0"/>
            <w:tcW w:w="1401" w:type="dxa"/>
          </w:tcPr>
          <w:p w14:paraId="209D27B0" w14:textId="77777777" w:rsidR="005D72AE" w:rsidRPr="00844A25" w:rsidRDefault="005D72AE" w:rsidP="00FA2A1A">
            <w:pPr>
              <w:rPr>
                <w:lang w:val="en-US"/>
              </w:rPr>
            </w:pPr>
            <w:r w:rsidRPr="00844A25">
              <w:rPr>
                <w:lang w:val="en-US"/>
              </w:rPr>
              <w:t>3,740</w:t>
            </w:r>
          </w:p>
        </w:tc>
      </w:tr>
      <w:tr w:rsidR="005D72AE" w:rsidRPr="00844A25" w14:paraId="2EAEB028" w14:textId="77777777" w:rsidTr="00FA2A1A">
        <w:trPr>
          <w:trHeight w:val="411"/>
        </w:trPr>
        <w:tc>
          <w:tcPr>
            <w:cnfStyle w:val="000010000000" w:firstRow="0" w:lastRow="0" w:firstColumn="0" w:lastColumn="0" w:oddVBand="1" w:evenVBand="0" w:oddHBand="0" w:evenHBand="0" w:firstRowFirstColumn="0" w:firstRowLastColumn="0" w:lastRowFirstColumn="0" w:lastRowLastColumn="0"/>
            <w:tcW w:w="2122" w:type="dxa"/>
          </w:tcPr>
          <w:p w14:paraId="0306AF60" w14:textId="77777777" w:rsidR="005D72AE" w:rsidRPr="00844A25"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999" w:type="dxa"/>
          </w:tcPr>
          <w:p w14:paraId="3282B9E9"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3214" w:type="dxa"/>
          </w:tcPr>
          <w:p w14:paraId="5C22F6C9" w14:textId="77777777" w:rsidR="005D72AE" w:rsidRPr="00844A25"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1401" w:type="dxa"/>
            <w:shd w:val="clear" w:color="auto" w:fill="F2F2F2" w:themeFill="background1" w:themeFillShade="F2"/>
          </w:tcPr>
          <w:p w14:paraId="44627761" w14:textId="77777777" w:rsidR="005D72AE" w:rsidRPr="00844A25" w:rsidRDefault="005D72AE" w:rsidP="00FA2A1A">
            <w:pPr>
              <w:rPr>
                <w:lang w:val="en-US"/>
              </w:rPr>
            </w:pPr>
            <w:r w:rsidRPr="00844A25">
              <w:rPr>
                <w:lang w:val="en-US"/>
              </w:rPr>
              <w:t>2,710</w:t>
            </w:r>
          </w:p>
        </w:tc>
        <w:tc>
          <w:tcPr>
            <w:cnfStyle w:val="000010000000" w:firstRow="0" w:lastRow="0" w:firstColumn="0" w:lastColumn="0" w:oddVBand="1" w:evenVBand="0" w:oddHBand="0" w:evenHBand="0" w:firstRowFirstColumn="0" w:firstRowLastColumn="0" w:lastRowFirstColumn="0" w:lastRowLastColumn="0"/>
            <w:tcW w:w="1401" w:type="dxa"/>
          </w:tcPr>
          <w:p w14:paraId="108A8F78" w14:textId="77777777" w:rsidR="005D72AE" w:rsidRPr="00844A25" w:rsidRDefault="005D72AE" w:rsidP="00FA2A1A">
            <w:pPr>
              <w:rPr>
                <w:lang w:val="en-US"/>
              </w:rPr>
            </w:pPr>
            <w:r w:rsidRPr="00844A25">
              <w:rPr>
                <w:lang w:val="en-US"/>
              </w:rPr>
              <w:t>3,740</w:t>
            </w:r>
          </w:p>
        </w:tc>
      </w:tr>
      <w:tr w:rsidR="005D72AE" w:rsidRPr="00844A25" w14:paraId="1072E93F" w14:textId="77777777" w:rsidTr="00FA2A1A">
        <w:trPr>
          <w:cnfStyle w:val="000000100000" w:firstRow="0" w:lastRow="0" w:firstColumn="0" w:lastColumn="0" w:oddVBand="0" w:evenVBand="0" w:oddHBand="1" w:evenHBand="0" w:firstRowFirstColumn="0" w:firstRowLastColumn="0" w:lastRowFirstColumn="0" w:lastRowLastColumn="0"/>
          <w:trHeight w:val="411"/>
        </w:trPr>
        <w:tc>
          <w:tcPr>
            <w:cnfStyle w:val="000010000000" w:firstRow="0" w:lastRow="0" w:firstColumn="0" w:lastColumn="0" w:oddVBand="1" w:evenVBand="0" w:oddHBand="0" w:evenHBand="0" w:firstRowFirstColumn="0" w:firstRowLastColumn="0" w:lastRowFirstColumn="0" w:lastRowLastColumn="0"/>
            <w:tcW w:w="2122" w:type="dxa"/>
          </w:tcPr>
          <w:p w14:paraId="7EA8C5E5" w14:textId="77777777" w:rsidR="005D72AE" w:rsidRPr="00844A25"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999" w:type="dxa"/>
          </w:tcPr>
          <w:p w14:paraId="2BBCDA74"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3214" w:type="dxa"/>
          </w:tcPr>
          <w:p w14:paraId="07155C27" w14:textId="77777777" w:rsidR="005D72AE" w:rsidRPr="00844A25"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1401" w:type="dxa"/>
            <w:shd w:val="clear" w:color="auto" w:fill="F2F2F2" w:themeFill="background1" w:themeFillShade="F2"/>
          </w:tcPr>
          <w:p w14:paraId="597CE6A2"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401" w:type="dxa"/>
          </w:tcPr>
          <w:p w14:paraId="27A8C3F9" w14:textId="77777777" w:rsidR="005D72AE" w:rsidRPr="00844A25" w:rsidRDefault="005D72AE" w:rsidP="00FA2A1A">
            <w:pPr>
              <w:rPr>
                <w:lang w:val="en-GB"/>
              </w:rPr>
            </w:pPr>
          </w:p>
        </w:tc>
      </w:tr>
      <w:tr w:rsidR="005D72AE" w:rsidRPr="00844A25" w14:paraId="1F93058D" w14:textId="77777777" w:rsidTr="00FA2A1A">
        <w:trPr>
          <w:trHeight w:val="411"/>
        </w:trPr>
        <w:tc>
          <w:tcPr>
            <w:cnfStyle w:val="000010000000" w:firstRow="0" w:lastRow="0" w:firstColumn="0" w:lastColumn="0" w:oddVBand="1" w:evenVBand="0" w:oddHBand="0" w:evenHBand="0" w:firstRowFirstColumn="0" w:firstRowLastColumn="0" w:lastRowFirstColumn="0" w:lastRowLastColumn="0"/>
            <w:tcW w:w="2122" w:type="dxa"/>
          </w:tcPr>
          <w:p w14:paraId="236ADBCC" w14:textId="77777777" w:rsidR="005D72AE" w:rsidRPr="007A0475" w:rsidRDefault="005D72AE" w:rsidP="00FA2A1A">
            <w:pPr>
              <w:rPr>
                <w:b/>
                <w:bCs/>
                <w:lang w:val="en-US"/>
              </w:rPr>
            </w:pPr>
            <w:r w:rsidRPr="007A0475">
              <w:rPr>
                <w:b/>
                <w:bCs/>
                <w:lang w:val="en-US"/>
              </w:rPr>
              <w:t>Financial liabilities</w:t>
            </w:r>
          </w:p>
        </w:tc>
        <w:tc>
          <w:tcPr>
            <w:cnfStyle w:val="000001000000" w:firstRow="0" w:lastRow="0" w:firstColumn="0" w:lastColumn="0" w:oddVBand="0" w:evenVBand="1" w:oddHBand="0" w:evenHBand="0" w:firstRowFirstColumn="0" w:firstRowLastColumn="0" w:lastRowFirstColumn="0" w:lastRowLastColumn="0"/>
            <w:tcW w:w="999" w:type="dxa"/>
          </w:tcPr>
          <w:p w14:paraId="557EE6A4" w14:textId="77777777" w:rsidR="005D72AE" w:rsidRPr="007A0475"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3214" w:type="dxa"/>
          </w:tcPr>
          <w:p w14:paraId="00631100" w14:textId="77777777" w:rsidR="005D72AE" w:rsidRPr="007A0475"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401" w:type="dxa"/>
            <w:shd w:val="clear" w:color="auto" w:fill="F2F2F2" w:themeFill="background1" w:themeFillShade="F2"/>
          </w:tcPr>
          <w:p w14:paraId="738FE44B" w14:textId="77777777" w:rsidR="005D72AE" w:rsidRPr="007A0475"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1401" w:type="dxa"/>
          </w:tcPr>
          <w:p w14:paraId="72361365" w14:textId="77777777" w:rsidR="005D72AE" w:rsidRPr="007A0475" w:rsidRDefault="005D72AE" w:rsidP="00FA2A1A">
            <w:pPr>
              <w:rPr>
                <w:b/>
                <w:bCs/>
                <w:lang w:val="en-GB"/>
              </w:rPr>
            </w:pPr>
          </w:p>
        </w:tc>
      </w:tr>
      <w:tr w:rsidR="005D72AE" w:rsidRPr="00844A25" w14:paraId="3EE4C98F" w14:textId="77777777" w:rsidTr="00FA2A1A">
        <w:trPr>
          <w:cnfStyle w:val="000000100000" w:firstRow="0" w:lastRow="0" w:firstColumn="0" w:lastColumn="0" w:oddVBand="0" w:evenVBand="0" w:oddHBand="1" w:evenHBand="0" w:firstRowFirstColumn="0" w:firstRowLastColumn="0" w:lastRowFirstColumn="0" w:lastRowLastColumn="0"/>
          <w:trHeight w:val="411"/>
        </w:trPr>
        <w:tc>
          <w:tcPr>
            <w:cnfStyle w:val="000010000000" w:firstRow="0" w:lastRow="0" w:firstColumn="0" w:lastColumn="0" w:oddVBand="1" w:evenVBand="0" w:oddHBand="0" w:evenHBand="0" w:firstRowFirstColumn="0" w:firstRowLastColumn="0" w:lastRowFirstColumn="0" w:lastRowLastColumn="0"/>
            <w:tcW w:w="2122" w:type="dxa"/>
          </w:tcPr>
          <w:p w14:paraId="6648AF70" w14:textId="77777777" w:rsidR="005D72AE" w:rsidRPr="00844A25" w:rsidRDefault="005D72AE" w:rsidP="00FA2A1A">
            <w:pPr>
              <w:rPr>
                <w:lang w:val="en-US"/>
              </w:rPr>
            </w:pPr>
            <w:r w:rsidRPr="00844A25">
              <w:rPr>
                <w:lang w:val="en-US"/>
              </w:rPr>
              <w:t>Payables</w:t>
            </w:r>
          </w:p>
        </w:tc>
        <w:tc>
          <w:tcPr>
            <w:cnfStyle w:val="000001000000" w:firstRow="0" w:lastRow="0" w:firstColumn="0" w:lastColumn="0" w:oddVBand="0" w:evenVBand="1" w:oddHBand="0" w:evenHBand="0" w:firstRowFirstColumn="0" w:firstRowLastColumn="0" w:lastRowFirstColumn="0" w:lastRowLastColumn="0"/>
            <w:tcW w:w="999" w:type="dxa"/>
          </w:tcPr>
          <w:p w14:paraId="0D7F44E4" w14:textId="77777777" w:rsidR="005D72AE" w:rsidRPr="00844A25" w:rsidRDefault="005D72AE" w:rsidP="00FA2A1A">
            <w:pPr>
              <w:rPr>
                <w:lang w:val="en-US"/>
              </w:rPr>
            </w:pPr>
            <w:r w:rsidRPr="00844A25">
              <w:rPr>
                <w:lang w:val="en-US"/>
              </w:rPr>
              <w:t>6.2</w:t>
            </w:r>
          </w:p>
        </w:tc>
        <w:tc>
          <w:tcPr>
            <w:cnfStyle w:val="000010000000" w:firstRow="0" w:lastRow="0" w:firstColumn="0" w:lastColumn="0" w:oddVBand="1" w:evenVBand="0" w:oddHBand="0" w:evenHBand="0" w:firstRowFirstColumn="0" w:firstRowLastColumn="0" w:lastRowFirstColumn="0" w:lastRowLastColumn="0"/>
            <w:tcW w:w="3214" w:type="dxa"/>
          </w:tcPr>
          <w:p w14:paraId="66829333" w14:textId="77777777" w:rsidR="005D72AE" w:rsidRPr="00844A25" w:rsidRDefault="005D72AE" w:rsidP="00FA2A1A">
            <w:pPr>
              <w:rPr>
                <w:lang w:val="en-US"/>
              </w:rPr>
            </w:pPr>
            <w:r w:rsidRPr="00844A25">
              <w:rPr>
                <w:lang w:val="en-US"/>
              </w:rPr>
              <w:t xml:space="preserve">Financial liabilities at </w:t>
            </w:r>
            <w:r w:rsidRPr="00844A25">
              <w:rPr>
                <w:lang w:val="en-US"/>
              </w:rPr>
              <w:lastRenderedPageBreak/>
              <w:t>amortised cost</w:t>
            </w:r>
          </w:p>
        </w:tc>
        <w:tc>
          <w:tcPr>
            <w:cnfStyle w:val="000001000000" w:firstRow="0" w:lastRow="0" w:firstColumn="0" w:lastColumn="0" w:oddVBand="0" w:evenVBand="1" w:oddHBand="0" w:evenHBand="0" w:firstRowFirstColumn="0" w:firstRowLastColumn="0" w:lastRowFirstColumn="0" w:lastRowLastColumn="0"/>
            <w:tcW w:w="1401" w:type="dxa"/>
            <w:shd w:val="clear" w:color="auto" w:fill="F2F2F2" w:themeFill="background1" w:themeFillShade="F2"/>
          </w:tcPr>
          <w:p w14:paraId="3A560A75" w14:textId="77777777" w:rsidR="005D72AE" w:rsidRPr="00844A25" w:rsidRDefault="005D72AE" w:rsidP="00FA2A1A">
            <w:pPr>
              <w:rPr>
                <w:lang w:val="en-US"/>
              </w:rPr>
            </w:pPr>
            <w:r w:rsidRPr="00844A25">
              <w:rPr>
                <w:lang w:val="en-US"/>
              </w:rPr>
              <w:lastRenderedPageBreak/>
              <w:t>3,601,684</w:t>
            </w:r>
          </w:p>
        </w:tc>
        <w:tc>
          <w:tcPr>
            <w:cnfStyle w:val="000010000000" w:firstRow="0" w:lastRow="0" w:firstColumn="0" w:lastColumn="0" w:oddVBand="1" w:evenVBand="0" w:oddHBand="0" w:evenHBand="0" w:firstRowFirstColumn="0" w:firstRowLastColumn="0" w:lastRowFirstColumn="0" w:lastRowLastColumn="0"/>
            <w:tcW w:w="1401" w:type="dxa"/>
          </w:tcPr>
          <w:p w14:paraId="11DBF8CF" w14:textId="77777777" w:rsidR="005D72AE" w:rsidRPr="00844A25" w:rsidRDefault="005D72AE" w:rsidP="00FA2A1A">
            <w:pPr>
              <w:rPr>
                <w:lang w:val="en-US"/>
              </w:rPr>
            </w:pPr>
            <w:r w:rsidRPr="00844A25">
              <w:rPr>
                <w:lang w:val="en-US"/>
              </w:rPr>
              <w:t>1,864,051</w:t>
            </w:r>
          </w:p>
        </w:tc>
      </w:tr>
      <w:tr w:rsidR="005D72AE" w:rsidRPr="00844A25" w14:paraId="52E5AA77" w14:textId="77777777" w:rsidTr="00FA2A1A">
        <w:trPr>
          <w:trHeight w:val="411"/>
        </w:trPr>
        <w:tc>
          <w:tcPr>
            <w:cnfStyle w:val="000010000000" w:firstRow="0" w:lastRow="0" w:firstColumn="0" w:lastColumn="0" w:oddVBand="1" w:evenVBand="0" w:oddHBand="0" w:evenHBand="0" w:firstRowFirstColumn="0" w:firstRowLastColumn="0" w:lastRowFirstColumn="0" w:lastRowLastColumn="0"/>
            <w:tcW w:w="2122" w:type="dxa"/>
          </w:tcPr>
          <w:p w14:paraId="6A153ACE" w14:textId="77777777" w:rsidR="005D72AE" w:rsidRPr="00844A25" w:rsidRDefault="005D72AE" w:rsidP="00FA2A1A">
            <w:pPr>
              <w:rPr>
                <w:lang w:val="en-US"/>
              </w:rPr>
            </w:pPr>
            <w:r w:rsidRPr="00844A25">
              <w:rPr>
                <w:lang w:val="en-US"/>
              </w:rPr>
              <w:t>Finance lease liability</w:t>
            </w:r>
          </w:p>
        </w:tc>
        <w:tc>
          <w:tcPr>
            <w:cnfStyle w:val="000001000000" w:firstRow="0" w:lastRow="0" w:firstColumn="0" w:lastColumn="0" w:oddVBand="0" w:evenVBand="1" w:oddHBand="0" w:evenHBand="0" w:firstRowFirstColumn="0" w:firstRowLastColumn="0" w:lastRowFirstColumn="0" w:lastRowLastColumn="0"/>
            <w:tcW w:w="999" w:type="dxa"/>
          </w:tcPr>
          <w:p w14:paraId="4B7DD218"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3214" w:type="dxa"/>
          </w:tcPr>
          <w:p w14:paraId="34F1B3B8" w14:textId="77777777" w:rsidR="005D72AE" w:rsidRPr="00844A25" w:rsidRDefault="005D72AE" w:rsidP="00FA2A1A">
            <w:pPr>
              <w:rPr>
                <w:lang w:val="en-US"/>
              </w:rPr>
            </w:pPr>
            <w:r w:rsidRPr="00844A25">
              <w:rPr>
                <w:lang w:val="en-US"/>
              </w:rPr>
              <w:t>Financial liabilities at amortised cost</w:t>
            </w:r>
          </w:p>
        </w:tc>
        <w:tc>
          <w:tcPr>
            <w:cnfStyle w:val="000001000000" w:firstRow="0" w:lastRow="0" w:firstColumn="0" w:lastColumn="0" w:oddVBand="0" w:evenVBand="1" w:oddHBand="0" w:evenHBand="0" w:firstRowFirstColumn="0" w:firstRowLastColumn="0" w:lastRowFirstColumn="0" w:lastRowLastColumn="0"/>
            <w:tcW w:w="1401" w:type="dxa"/>
            <w:shd w:val="clear" w:color="auto" w:fill="F2F2F2" w:themeFill="background1" w:themeFillShade="F2"/>
          </w:tcPr>
          <w:p w14:paraId="37885AE2" w14:textId="77777777" w:rsidR="005D72AE" w:rsidRPr="00844A25" w:rsidRDefault="005D72AE" w:rsidP="00FA2A1A">
            <w:pPr>
              <w:rPr>
                <w:lang w:val="en-US"/>
              </w:rPr>
            </w:pPr>
            <w:r w:rsidRPr="00844A25">
              <w:rPr>
                <w:lang w:val="en-US"/>
              </w:rPr>
              <w:t>84,889</w:t>
            </w:r>
          </w:p>
        </w:tc>
        <w:tc>
          <w:tcPr>
            <w:cnfStyle w:val="000010000000" w:firstRow="0" w:lastRow="0" w:firstColumn="0" w:lastColumn="0" w:oddVBand="1" w:evenVBand="0" w:oddHBand="0" w:evenHBand="0" w:firstRowFirstColumn="0" w:firstRowLastColumn="0" w:lastRowFirstColumn="0" w:lastRowLastColumn="0"/>
            <w:tcW w:w="1401" w:type="dxa"/>
          </w:tcPr>
          <w:p w14:paraId="05135D0F" w14:textId="77777777" w:rsidR="005D72AE" w:rsidRPr="00844A25" w:rsidRDefault="005D72AE" w:rsidP="00FA2A1A">
            <w:pPr>
              <w:rPr>
                <w:lang w:val="en-US"/>
              </w:rPr>
            </w:pPr>
            <w:r w:rsidRPr="00844A25">
              <w:rPr>
                <w:lang w:val="en-US"/>
              </w:rPr>
              <w:t>42,995</w:t>
            </w:r>
          </w:p>
        </w:tc>
      </w:tr>
      <w:tr w:rsidR="005D72AE" w:rsidRPr="00844A25" w14:paraId="66EBBA7C" w14:textId="77777777" w:rsidTr="00FA2A1A">
        <w:trPr>
          <w:cnfStyle w:val="000000100000" w:firstRow="0" w:lastRow="0" w:firstColumn="0" w:lastColumn="0" w:oddVBand="0" w:evenVBand="0" w:oddHBand="1" w:evenHBand="0" w:firstRowFirstColumn="0" w:firstRowLastColumn="0" w:lastRowFirstColumn="0" w:lastRowLastColumn="0"/>
          <w:trHeight w:val="411"/>
        </w:trPr>
        <w:tc>
          <w:tcPr>
            <w:cnfStyle w:val="000010000000" w:firstRow="0" w:lastRow="0" w:firstColumn="0" w:lastColumn="0" w:oddVBand="1" w:evenVBand="0" w:oddHBand="0" w:evenHBand="0" w:firstRowFirstColumn="0" w:firstRowLastColumn="0" w:lastRowFirstColumn="0" w:lastRowLastColumn="0"/>
            <w:tcW w:w="2122" w:type="dxa"/>
          </w:tcPr>
          <w:p w14:paraId="4FC982E7" w14:textId="77777777" w:rsidR="005D72AE" w:rsidRPr="00844A25" w:rsidRDefault="005D72AE" w:rsidP="00FA2A1A">
            <w:pPr>
              <w:rPr>
                <w:lang w:val="en-GB"/>
              </w:rPr>
            </w:pPr>
          </w:p>
        </w:tc>
        <w:tc>
          <w:tcPr>
            <w:cnfStyle w:val="000001000000" w:firstRow="0" w:lastRow="0" w:firstColumn="0" w:lastColumn="0" w:oddVBand="0" w:evenVBand="1" w:oddHBand="0" w:evenHBand="0" w:firstRowFirstColumn="0" w:firstRowLastColumn="0" w:lastRowFirstColumn="0" w:lastRowLastColumn="0"/>
            <w:tcW w:w="999" w:type="dxa"/>
          </w:tcPr>
          <w:p w14:paraId="00AFB26F"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3214" w:type="dxa"/>
          </w:tcPr>
          <w:p w14:paraId="6F5D0FFB" w14:textId="77777777" w:rsidR="005D72AE" w:rsidRPr="007A0475"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401" w:type="dxa"/>
            <w:shd w:val="clear" w:color="auto" w:fill="F2F2F2" w:themeFill="background1" w:themeFillShade="F2"/>
          </w:tcPr>
          <w:p w14:paraId="603B1136" w14:textId="77777777" w:rsidR="005D72AE" w:rsidRPr="007A0475" w:rsidRDefault="005D72AE" w:rsidP="00FA2A1A">
            <w:pPr>
              <w:rPr>
                <w:b/>
                <w:bCs/>
                <w:lang w:val="en-US"/>
              </w:rPr>
            </w:pPr>
            <w:r w:rsidRPr="007A0475">
              <w:rPr>
                <w:b/>
                <w:bCs/>
                <w:lang w:val="en-US"/>
              </w:rPr>
              <w:t>3,686,573</w:t>
            </w:r>
          </w:p>
        </w:tc>
        <w:tc>
          <w:tcPr>
            <w:cnfStyle w:val="000010000000" w:firstRow="0" w:lastRow="0" w:firstColumn="0" w:lastColumn="0" w:oddVBand="1" w:evenVBand="0" w:oddHBand="0" w:evenHBand="0" w:firstRowFirstColumn="0" w:firstRowLastColumn="0" w:lastRowFirstColumn="0" w:lastRowLastColumn="0"/>
            <w:tcW w:w="1401" w:type="dxa"/>
          </w:tcPr>
          <w:p w14:paraId="551021C1" w14:textId="77777777" w:rsidR="005D72AE" w:rsidRPr="007A0475" w:rsidRDefault="005D72AE" w:rsidP="00FA2A1A">
            <w:pPr>
              <w:rPr>
                <w:b/>
                <w:bCs/>
                <w:lang w:val="en-US"/>
              </w:rPr>
            </w:pPr>
            <w:r w:rsidRPr="007A0475">
              <w:rPr>
                <w:b/>
                <w:bCs/>
                <w:lang w:val="en-US"/>
              </w:rPr>
              <w:t>1,907,046</w:t>
            </w:r>
          </w:p>
        </w:tc>
      </w:tr>
    </w:tbl>
    <w:p w14:paraId="7C5E0AEC" w14:textId="77777777" w:rsidR="005D72AE" w:rsidRPr="00844A25" w:rsidRDefault="005D72AE" w:rsidP="005D72AE">
      <w:pPr>
        <w:rPr>
          <w:lang w:val="en-US"/>
        </w:rPr>
      </w:pPr>
      <w:r w:rsidRPr="00844A25">
        <w:rPr>
          <w:i/>
          <w:iCs/>
          <w:lang w:val="en-US"/>
        </w:rPr>
        <w:t>* Receivables disclosed here exclude statutory receivables (i.e. amounts receivable from government departments and GST recoverable).</w:t>
      </w:r>
    </w:p>
    <w:p w14:paraId="3ED604CF" w14:textId="77777777" w:rsidR="005D72AE" w:rsidRPr="00844A25" w:rsidRDefault="005D72AE" w:rsidP="005D72AE">
      <w:pPr>
        <w:pStyle w:val="Heading4"/>
      </w:pPr>
      <w:r w:rsidRPr="00844A25">
        <w:t>8.1.2. Net holding gain/(loss) on financial instruments by category</w:t>
      </w:r>
    </w:p>
    <w:tbl>
      <w:tblPr>
        <w:tblStyle w:val="PlainTable2"/>
        <w:tblW w:w="9094" w:type="dxa"/>
        <w:tblInd w:w="-5" w:type="dxa"/>
        <w:tblLayout w:type="fixed"/>
        <w:tblLook w:val="0000" w:firstRow="0" w:lastRow="0" w:firstColumn="0" w:lastColumn="0" w:noHBand="0" w:noVBand="0"/>
      </w:tblPr>
      <w:tblGrid>
        <w:gridCol w:w="2346"/>
        <w:gridCol w:w="777"/>
        <w:gridCol w:w="3184"/>
        <w:gridCol w:w="1394"/>
        <w:gridCol w:w="1393"/>
      </w:tblGrid>
      <w:tr w:rsidR="005D72AE" w:rsidRPr="00844A25" w14:paraId="26A0D0BA" w14:textId="77777777" w:rsidTr="00FA2A1A">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2346" w:type="dxa"/>
          </w:tcPr>
          <w:p w14:paraId="33834374" w14:textId="77777777" w:rsidR="005D72AE" w:rsidRPr="007A0475" w:rsidRDefault="005D72AE" w:rsidP="00FA2A1A">
            <w:pPr>
              <w:rPr>
                <w:b/>
                <w:bCs/>
                <w:lang w:val="en-US"/>
              </w:rPr>
            </w:pPr>
            <w:r w:rsidRPr="007A0475">
              <w:rPr>
                <w:b/>
                <w:bCs/>
                <w:lang w:val="en-US"/>
              </w:rPr>
              <w:t>Financial liabilities</w:t>
            </w:r>
          </w:p>
        </w:tc>
        <w:tc>
          <w:tcPr>
            <w:cnfStyle w:val="000001000000" w:firstRow="0" w:lastRow="0" w:firstColumn="0" w:lastColumn="0" w:oddVBand="0" w:evenVBand="1" w:oddHBand="0" w:evenHBand="0" w:firstRowFirstColumn="0" w:firstRowLastColumn="0" w:lastRowFirstColumn="0" w:lastRowLastColumn="0"/>
            <w:tcW w:w="777" w:type="dxa"/>
          </w:tcPr>
          <w:p w14:paraId="4DBF9334" w14:textId="77777777" w:rsidR="005D72AE" w:rsidRPr="007A0475"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3184" w:type="dxa"/>
          </w:tcPr>
          <w:p w14:paraId="497F1878" w14:textId="77777777" w:rsidR="005D72AE" w:rsidRPr="007A0475"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394" w:type="dxa"/>
          </w:tcPr>
          <w:p w14:paraId="2BDA809F" w14:textId="77777777" w:rsidR="005D72AE" w:rsidRPr="007A0475"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1393" w:type="dxa"/>
          </w:tcPr>
          <w:p w14:paraId="7885231C" w14:textId="77777777" w:rsidR="005D72AE" w:rsidRPr="007A0475" w:rsidRDefault="005D72AE" w:rsidP="00FA2A1A">
            <w:pPr>
              <w:rPr>
                <w:b/>
                <w:bCs/>
                <w:lang w:val="en-GB"/>
              </w:rPr>
            </w:pPr>
          </w:p>
        </w:tc>
      </w:tr>
      <w:tr w:rsidR="005D72AE" w:rsidRPr="00844A25" w14:paraId="0F9A620E" w14:textId="77777777" w:rsidTr="00FA2A1A">
        <w:trPr>
          <w:trHeight w:val="283"/>
        </w:trPr>
        <w:tc>
          <w:tcPr>
            <w:cnfStyle w:val="000010000000" w:firstRow="0" w:lastRow="0" w:firstColumn="0" w:lastColumn="0" w:oddVBand="1" w:evenVBand="0" w:oddHBand="0" w:evenHBand="0" w:firstRowFirstColumn="0" w:firstRowLastColumn="0" w:lastRowFirstColumn="0" w:lastRowLastColumn="0"/>
            <w:tcW w:w="2346" w:type="dxa"/>
          </w:tcPr>
          <w:p w14:paraId="02742440" w14:textId="77777777" w:rsidR="005D72AE" w:rsidRPr="00844A25" w:rsidRDefault="005D72AE" w:rsidP="00FA2A1A">
            <w:pPr>
              <w:rPr>
                <w:lang w:val="en-US"/>
              </w:rPr>
            </w:pPr>
            <w:r w:rsidRPr="00844A25">
              <w:rPr>
                <w:lang w:val="en-US"/>
              </w:rPr>
              <w:t>Finance lease liability</w:t>
            </w:r>
          </w:p>
        </w:tc>
        <w:tc>
          <w:tcPr>
            <w:cnfStyle w:val="000001000000" w:firstRow="0" w:lastRow="0" w:firstColumn="0" w:lastColumn="0" w:oddVBand="0" w:evenVBand="1" w:oddHBand="0" w:evenHBand="0" w:firstRowFirstColumn="0" w:firstRowLastColumn="0" w:lastRowFirstColumn="0" w:lastRowLastColumn="0"/>
            <w:tcW w:w="777" w:type="dxa"/>
          </w:tcPr>
          <w:p w14:paraId="3C9F52F6"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3184" w:type="dxa"/>
          </w:tcPr>
          <w:p w14:paraId="473E8B8C" w14:textId="77777777" w:rsidR="005D72AE" w:rsidRPr="00844A25" w:rsidRDefault="005D72AE" w:rsidP="00FA2A1A">
            <w:pPr>
              <w:rPr>
                <w:lang w:val="en-US"/>
              </w:rPr>
            </w:pPr>
            <w:r w:rsidRPr="00844A25">
              <w:rPr>
                <w:lang w:val="en-US"/>
              </w:rPr>
              <w:t>Financial liabilities at amortised cost</w:t>
            </w:r>
          </w:p>
        </w:tc>
        <w:tc>
          <w:tcPr>
            <w:cnfStyle w:val="000001000000" w:firstRow="0" w:lastRow="0" w:firstColumn="0" w:lastColumn="0" w:oddVBand="0" w:evenVBand="1" w:oddHBand="0" w:evenHBand="0" w:firstRowFirstColumn="0" w:firstRowLastColumn="0" w:lastRowFirstColumn="0" w:lastRowLastColumn="0"/>
            <w:tcW w:w="1394" w:type="dxa"/>
          </w:tcPr>
          <w:p w14:paraId="457C6515" w14:textId="77777777" w:rsidR="005D72AE" w:rsidRPr="007A0475" w:rsidRDefault="005D72AE" w:rsidP="00FA2A1A">
            <w:pPr>
              <w:rPr>
                <w:b/>
                <w:bCs/>
                <w:lang w:val="en-US"/>
              </w:rPr>
            </w:pPr>
            <w:r w:rsidRPr="007A0475">
              <w:rPr>
                <w:b/>
                <w:bCs/>
                <w:lang w:val="en-US"/>
              </w:rPr>
              <w:t>(32,220)</w:t>
            </w:r>
          </w:p>
        </w:tc>
        <w:tc>
          <w:tcPr>
            <w:cnfStyle w:val="000010000000" w:firstRow="0" w:lastRow="0" w:firstColumn="0" w:lastColumn="0" w:oddVBand="1" w:evenVBand="0" w:oddHBand="0" w:evenHBand="0" w:firstRowFirstColumn="0" w:firstRowLastColumn="0" w:lastRowFirstColumn="0" w:lastRowLastColumn="0"/>
            <w:tcW w:w="1393" w:type="dxa"/>
          </w:tcPr>
          <w:p w14:paraId="503EADB2" w14:textId="77777777" w:rsidR="005D72AE" w:rsidRPr="007A0475" w:rsidRDefault="005D72AE" w:rsidP="00FA2A1A">
            <w:pPr>
              <w:rPr>
                <w:b/>
                <w:bCs/>
                <w:lang w:val="en-US"/>
              </w:rPr>
            </w:pPr>
            <w:r w:rsidRPr="007A0475">
              <w:rPr>
                <w:b/>
                <w:bCs/>
                <w:lang w:val="en-US"/>
              </w:rPr>
              <w:t>(439)</w:t>
            </w:r>
          </w:p>
        </w:tc>
      </w:tr>
    </w:tbl>
    <w:p w14:paraId="30B06524" w14:textId="77777777" w:rsidR="005D72AE" w:rsidRPr="00844A25" w:rsidRDefault="005D72AE" w:rsidP="005D72AE">
      <w:pPr>
        <w:rPr>
          <w:lang w:val="en-US"/>
        </w:rPr>
      </w:pPr>
      <w:r w:rsidRPr="00844A25">
        <w:rPr>
          <w:lang w:val="en-US"/>
        </w:rPr>
        <w:t>The net holding gains or losses disclosed relate to interest expense and are measured at amortised cost.</w:t>
      </w:r>
    </w:p>
    <w:p w14:paraId="7A24D670" w14:textId="77777777" w:rsidR="005D72AE" w:rsidRPr="00844A25" w:rsidRDefault="005D72AE" w:rsidP="005D72AE">
      <w:pPr>
        <w:pStyle w:val="Heading4"/>
      </w:pPr>
      <w:r w:rsidRPr="00844A25">
        <w:t>8.1.3. Financial risk management objectives and policies</w:t>
      </w:r>
    </w:p>
    <w:p w14:paraId="72438803" w14:textId="77777777" w:rsidR="005D72AE" w:rsidRPr="002909E2" w:rsidRDefault="005D72AE" w:rsidP="005D72AE">
      <w:pPr>
        <w:pStyle w:val="Heading5"/>
      </w:pPr>
      <w:r w:rsidRPr="002909E2">
        <w:t>Financial instruments: Credit risk</w:t>
      </w:r>
    </w:p>
    <w:p w14:paraId="23C5C8B6" w14:textId="77777777" w:rsidR="005D72AE" w:rsidRPr="00844A25" w:rsidRDefault="005D72AE" w:rsidP="005D72AE">
      <w:pPr>
        <w:rPr>
          <w:lang w:val="en-US"/>
        </w:rPr>
      </w:pPr>
      <w:r w:rsidRPr="00844A25">
        <w:rPr>
          <w:lang w:val="en-US"/>
        </w:rPr>
        <w:t>Credit risk arises from the financial assets of the commission, which comprise cash, and trade and other receivables. The commission’s exposure to credit risk arises from the potential default of counterparties on their contractual obligations resulting in financial loss to the commission. Credit risk is measured at fair value and is monitored on a regular basis.</w:t>
      </w:r>
    </w:p>
    <w:p w14:paraId="75B1BE10" w14:textId="77777777" w:rsidR="005D72AE" w:rsidRPr="00844A25" w:rsidRDefault="005D72AE" w:rsidP="005D72AE">
      <w:pPr>
        <w:rPr>
          <w:lang w:val="en-US"/>
        </w:rPr>
      </w:pPr>
      <w:r w:rsidRPr="00844A25">
        <w:rPr>
          <w:lang w:val="en-US"/>
        </w:rPr>
        <w:t>Credit risk associated with the commission’s financial assets is insignificant because the main debtor is the Victorian Government. For debtors other than government, it is the commission’s policy to only deal with entities with high credit ratings and to obtain sufficient collateral or credit enhancements where appropriate. The commission does not have any significant credit risk exposure to any single counterparty or any group of counterparties having similar characteristics. The carrying amount of financial assets recorded in the financial statements, net of any allowances for losses, represents the commission’s maximum exposure to credit risk without taking account of the value of any collateral obtained.</w:t>
      </w:r>
    </w:p>
    <w:p w14:paraId="3ED564BF" w14:textId="77777777" w:rsidR="005D72AE" w:rsidRPr="00844A25" w:rsidRDefault="005D72AE" w:rsidP="005D72AE">
      <w:pPr>
        <w:pStyle w:val="Heading5"/>
      </w:pPr>
      <w:r w:rsidRPr="00844A25">
        <w:t>Financial instruments: Liquidity risk</w:t>
      </w:r>
    </w:p>
    <w:p w14:paraId="1B86D3D2" w14:textId="77777777" w:rsidR="005D72AE" w:rsidRPr="00844A25" w:rsidRDefault="005D72AE" w:rsidP="005D72AE">
      <w:pPr>
        <w:rPr>
          <w:lang w:val="en-US"/>
        </w:rPr>
      </w:pPr>
      <w:r w:rsidRPr="00844A25">
        <w:rPr>
          <w:lang w:val="en-US"/>
        </w:rPr>
        <w:t>Liquidity risk arises when the commission is unable to meet its financial obligations as they fall due. The commission operates under the Victorian Government’s fair payments policy of settling financial obligations within 30 days and in the event of a dispute, making payments within 30 days from the date of resolution.</w:t>
      </w:r>
    </w:p>
    <w:p w14:paraId="1E78F05D" w14:textId="77777777" w:rsidR="005D72AE" w:rsidRPr="00844A25" w:rsidRDefault="005D72AE" w:rsidP="005D72AE">
      <w:pPr>
        <w:rPr>
          <w:lang w:val="en-US"/>
        </w:rPr>
      </w:pPr>
      <w:r w:rsidRPr="00844A25">
        <w:rPr>
          <w:lang w:val="en-US"/>
        </w:rPr>
        <w:t>The commission’s exposure to liquidity risk is deemed insignificant based on prior periods’ data and current assessment of risk. Maximum exposure to liquidity risk is the carrying amounts of financial liabilities. The commission manages its liquidity risk by maintaining an adequate level of uncommitted funds that can be drawn at short notice to meet its short term obligations.</w:t>
      </w:r>
    </w:p>
    <w:p w14:paraId="20A9E7CB" w14:textId="77777777" w:rsidR="005D72AE" w:rsidRPr="00844A25" w:rsidRDefault="005D72AE" w:rsidP="005D72AE">
      <w:pPr>
        <w:pStyle w:val="Heading5"/>
      </w:pPr>
      <w:r w:rsidRPr="00844A25">
        <w:lastRenderedPageBreak/>
        <w:t>Financial Instruments: Market risk</w:t>
      </w:r>
    </w:p>
    <w:p w14:paraId="312E1F94" w14:textId="77777777" w:rsidR="005D72AE" w:rsidRPr="00844A25" w:rsidRDefault="005D72AE" w:rsidP="005D72AE">
      <w:pPr>
        <w:rPr>
          <w:lang w:val="en-US"/>
        </w:rPr>
      </w:pPr>
      <w:r w:rsidRPr="00844A25">
        <w:rPr>
          <w:lang w:val="en-US"/>
        </w:rPr>
        <w:t xml:space="preserve">The commission has no exposure to interest rate, foreign currency or other price risks. Interest rates on the commission’s finance lease liabilities are fixed. </w:t>
      </w:r>
    </w:p>
    <w:p w14:paraId="517E3985" w14:textId="77777777" w:rsidR="005D72AE" w:rsidRPr="00844A25" w:rsidRDefault="005D72AE" w:rsidP="005D72AE">
      <w:pPr>
        <w:pStyle w:val="Heading4"/>
      </w:pPr>
      <w:r w:rsidRPr="00844A25">
        <w:t>8.2. Contingent assets and contingent liabilities</w:t>
      </w:r>
    </w:p>
    <w:p w14:paraId="72718B77" w14:textId="77777777" w:rsidR="005D72AE" w:rsidRPr="00844A25" w:rsidRDefault="005D72AE" w:rsidP="005D72AE">
      <w:pPr>
        <w:rPr>
          <w:lang w:val="en-US"/>
        </w:rPr>
      </w:pPr>
      <w:r w:rsidRPr="00844A25">
        <w:rPr>
          <w:lang w:val="en-US"/>
        </w:rPr>
        <w:t>The commission had no contingent assets or contingent liabilities at 30 June 2020 (30 June 2019: Nil).</w:t>
      </w:r>
    </w:p>
    <w:p w14:paraId="09004081" w14:textId="77777777" w:rsidR="005D72AE" w:rsidRDefault="005D72AE" w:rsidP="005D72AE">
      <w:pPr>
        <w:pStyle w:val="Heading2"/>
      </w:pPr>
      <w:bookmarkStart w:id="21" w:name="_Toc58869011"/>
      <w:r w:rsidRPr="00844A25">
        <w:t>Note 9. Other disclosures</w:t>
      </w:r>
      <w:bookmarkEnd w:id="21"/>
    </w:p>
    <w:p w14:paraId="69B75A78" w14:textId="77777777" w:rsidR="005D72AE" w:rsidRDefault="005D72AE" w:rsidP="005D72AE">
      <w:pPr>
        <w:rPr>
          <w:lang w:val="en-US"/>
        </w:rPr>
      </w:pPr>
      <w:r w:rsidRPr="00844A25">
        <w:rPr>
          <w:lang w:val="en-US"/>
        </w:rPr>
        <w:t>This section includes additional material disclosures required by accounting standards</w:t>
      </w:r>
      <w:r>
        <w:rPr>
          <w:lang w:val="en-US"/>
        </w:rPr>
        <w:t xml:space="preserve"> </w:t>
      </w:r>
      <w:r w:rsidRPr="00844A25">
        <w:rPr>
          <w:lang w:val="en-US"/>
        </w:rPr>
        <w:t>or otherwise, for the understanding of this financial report.</w:t>
      </w:r>
    </w:p>
    <w:p w14:paraId="3A16A3FB" w14:textId="77777777" w:rsidR="005D72AE" w:rsidRPr="00844A25" w:rsidRDefault="005D72AE" w:rsidP="005D72AE">
      <w:pPr>
        <w:rPr>
          <w:lang w:val="en-US"/>
        </w:rPr>
      </w:pPr>
      <w:r w:rsidRPr="00844A25">
        <w:rPr>
          <w:lang w:val="en-US"/>
        </w:rPr>
        <w:t>9.1.</w:t>
      </w:r>
      <w:r>
        <w:rPr>
          <w:lang w:val="en-US"/>
        </w:rPr>
        <w:t xml:space="preserve"> </w:t>
      </w:r>
      <w:r w:rsidRPr="00844A25">
        <w:rPr>
          <w:lang w:val="en-US"/>
        </w:rPr>
        <w:t>Other economic flows included in net result</w:t>
      </w:r>
    </w:p>
    <w:p w14:paraId="119DADBA" w14:textId="77777777" w:rsidR="005D72AE" w:rsidRPr="00844A25" w:rsidRDefault="005D72AE" w:rsidP="005D72AE">
      <w:pPr>
        <w:rPr>
          <w:lang w:val="en-US"/>
        </w:rPr>
      </w:pPr>
      <w:r w:rsidRPr="00844A25">
        <w:rPr>
          <w:lang w:val="en-US"/>
        </w:rPr>
        <w:t>9.2.</w:t>
      </w:r>
      <w:r>
        <w:rPr>
          <w:lang w:val="en-US"/>
        </w:rPr>
        <w:t xml:space="preserve"> </w:t>
      </w:r>
      <w:r w:rsidRPr="00844A25">
        <w:rPr>
          <w:lang w:val="en-US"/>
        </w:rPr>
        <w:t>Change in accounting policies</w:t>
      </w:r>
    </w:p>
    <w:p w14:paraId="691E6E5E" w14:textId="77777777" w:rsidR="005D72AE" w:rsidRPr="00844A25" w:rsidRDefault="005D72AE" w:rsidP="005D72AE">
      <w:pPr>
        <w:rPr>
          <w:lang w:val="en-US"/>
        </w:rPr>
      </w:pPr>
      <w:r w:rsidRPr="00844A25">
        <w:rPr>
          <w:lang w:val="en-US"/>
        </w:rPr>
        <w:t>9.3.</w:t>
      </w:r>
      <w:r>
        <w:rPr>
          <w:lang w:val="en-US"/>
        </w:rPr>
        <w:t xml:space="preserve"> </w:t>
      </w:r>
      <w:r w:rsidRPr="00844A25">
        <w:rPr>
          <w:lang w:val="en-US"/>
        </w:rPr>
        <w:t>Responsible persons</w:t>
      </w:r>
    </w:p>
    <w:p w14:paraId="4F7CF606" w14:textId="77777777" w:rsidR="005D72AE" w:rsidRPr="00844A25" w:rsidRDefault="005D72AE" w:rsidP="005D72AE">
      <w:pPr>
        <w:rPr>
          <w:lang w:val="en-US"/>
        </w:rPr>
      </w:pPr>
      <w:r w:rsidRPr="00844A25">
        <w:rPr>
          <w:lang w:val="en-US"/>
        </w:rPr>
        <w:t>9.4.</w:t>
      </w:r>
      <w:r>
        <w:rPr>
          <w:lang w:val="en-US"/>
        </w:rPr>
        <w:t xml:space="preserve"> </w:t>
      </w:r>
      <w:r w:rsidRPr="00844A25">
        <w:rPr>
          <w:lang w:val="en-US"/>
        </w:rPr>
        <w:t>Remuneration of executives</w:t>
      </w:r>
    </w:p>
    <w:p w14:paraId="07F710E9" w14:textId="77777777" w:rsidR="005D72AE" w:rsidRPr="00844A25" w:rsidRDefault="005D72AE" w:rsidP="005D72AE">
      <w:pPr>
        <w:rPr>
          <w:lang w:val="en-US"/>
        </w:rPr>
      </w:pPr>
      <w:r w:rsidRPr="00844A25">
        <w:rPr>
          <w:lang w:val="en-US"/>
        </w:rPr>
        <w:t>9.5.</w:t>
      </w:r>
      <w:r>
        <w:rPr>
          <w:lang w:val="en-US"/>
        </w:rPr>
        <w:t xml:space="preserve"> </w:t>
      </w:r>
      <w:r w:rsidRPr="00844A25">
        <w:rPr>
          <w:lang w:val="en-US"/>
        </w:rPr>
        <w:t>Related parties</w:t>
      </w:r>
    </w:p>
    <w:p w14:paraId="2C506E1F" w14:textId="77777777" w:rsidR="005D72AE" w:rsidRPr="00844A25" w:rsidRDefault="005D72AE" w:rsidP="005D72AE">
      <w:pPr>
        <w:rPr>
          <w:lang w:val="en-US"/>
        </w:rPr>
      </w:pPr>
      <w:r w:rsidRPr="00844A25">
        <w:rPr>
          <w:lang w:val="en-US"/>
        </w:rPr>
        <w:t>9.6.</w:t>
      </w:r>
      <w:r>
        <w:rPr>
          <w:lang w:val="en-US"/>
        </w:rPr>
        <w:t xml:space="preserve">  </w:t>
      </w:r>
      <w:r w:rsidRPr="00844A25">
        <w:rPr>
          <w:lang w:val="en-US"/>
        </w:rPr>
        <w:t>Australian Accounting Standards issued that are not yet effective</w:t>
      </w:r>
    </w:p>
    <w:p w14:paraId="249D6CF0" w14:textId="77777777" w:rsidR="005D72AE" w:rsidRPr="00844A25" w:rsidRDefault="005D72AE" w:rsidP="005D72AE">
      <w:pPr>
        <w:rPr>
          <w:lang w:val="en-US"/>
        </w:rPr>
      </w:pPr>
      <w:r w:rsidRPr="00844A25">
        <w:rPr>
          <w:lang w:val="en-US"/>
        </w:rPr>
        <w:t>9.7.</w:t>
      </w:r>
      <w:r>
        <w:rPr>
          <w:lang w:val="en-US"/>
        </w:rPr>
        <w:t xml:space="preserve"> </w:t>
      </w:r>
      <w:r w:rsidRPr="00844A25">
        <w:rPr>
          <w:lang w:val="en-US"/>
        </w:rPr>
        <w:t>Events after reporting date</w:t>
      </w:r>
    </w:p>
    <w:p w14:paraId="4668E637" w14:textId="77777777" w:rsidR="005D72AE" w:rsidRPr="00844A25" w:rsidRDefault="005D72AE" w:rsidP="005D72AE">
      <w:pPr>
        <w:rPr>
          <w:lang w:val="en-US"/>
        </w:rPr>
      </w:pPr>
      <w:r w:rsidRPr="00844A25">
        <w:rPr>
          <w:lang w:val="en-US"/>
        </w:rPr>
        <w:t>9.8.</w:t>
      </w:r>
      <w:r>
        <w:rPr>
          <w:lang w:val="en-US"/>
        </w:rPr>
        <w:t xml:space="preserve"> </w:t>
      </w:r>
      <w:r w:rsidRPr="00844A25">
        <w:rPr>
          <w:lang w:val="en-US"/>
        </w:rPr>
        <w:t>Renumeration of auditors</w:t>
      </w:r>
    </w:p>
    <w:p w14:paraId="41549A35" w14:textId="77777777" w:rsidR="005D72AE" w:rsidRPr="00DC6D0F" w:rsidRDefault="005D72AE" w:rsidP="005D72AE">
      <w:pPr>
        <w:rPr>
          <w:lang w:val="en-US"/>
        </w:rPr>
      </w:pPr>
      <w:r w:rsidRPr="00844A25">
        <w:rPr>
          <w:lang w:val="en-US"/>
        </w:rPr>
        <w:t>9.9.</w:t>
      </w:r>
      <w:r>
        <w:rPr>
          <w:lang w:val="en-US"/>
        </w:rPr>
        <w:t xml:space="preserve"> </w:t>
      </w:r>
      <w:r w:rsidRPr="00844A25">
        <w:rPr>
          <w:lang w:val="en-US"/>
        </w:rPr>
        <w:t>Glossary of terms</w:t>
      </w:r>
    </w:p>
    <w:p w14:paraId="65ACAF01" w14:textId="77777777" w:rsidR="005D72AE" w:rsidRPr="00844A25" w:rsidRDefault="005D72AE" w:rsidP="005D72AE">
      <w:pPr>
        <w:pStyle w:val="Heading3"/>
      </w:pPr>
      <w:r w:rsidRPr="00844A25">
        <w:t>9.1. Other economic flows included in net result</w:t>
      </w:r>
    </w:p>
    <w:p w14:paraId="2CC2ABB5" w14:textId="77777777" w:rsidR="005D72AE" w:rsidRPr="00844A25" w:rsidRDefault="005D72AE" w:rsidP="005D72AE">
      <w:pPr>
        <w:rPr>
          <w:lang w:val="en-US"/>
        </w:rPr>
      </w:pPr>
      <w:r w:rsidRPr="00844A25">
        <w:rPr>
          <w:lang w:val="en-US"/>
        </w:rPr>
        <w:t>Other economic flows measure the change in volume or value of asset or liability that do not result from transactions. Other gains/(losses) from other economic flows include the gains or losses from:</w:t>
      </w:r>
    </w:p>
    <w:p w14:paraId="4341F946" w14:textId="77777777" w:rsidR="005D72AE" w:rsidRPr="00844A25" w:rsidRDefault="005D72AE" w:rsidP="005D72AE">
      <w:pPr>
        <w:pStyle w:val="Heading4"/>
      </w:pPr>
      <w:r w:rsidRPr="00844A25">
        <w:t>Disposal of non-financial assets</w:t>
      </w:r>
    </w:p>
    <w:p w14:paraId="5504C6F3" w14:textId="77777777" w:rsidR="005D72AE" w:rsidRPr="00844A25" w:rsidRDefault="005D72AE" w:rsidP="005D72AE">
      <w:pPr>
        <w:rPr>
          <w:lang w:val="en-US"/>
        </w:rPr>
      </w:pPr>
      <w:r w:rsidRPr="00844A25">
        <w:rPr>
          <w:lang w:val="en-US"/>
        </w:rPr>
        <w:t>Any gain or loss on the disposal of non-financial assets is recognised at the date of disposal and is determined after deducting from the proceeds the carrying value of the asset at that time.</w:t>
      </w:r>
    </w:p>
    <w:p w14:paraId="33512DEC" w14:textId="77777777" w:rsidR="005D72AE" w:rsidRPr="00844A25" w:rsidRDefault="005D72AE" w:rsidP="005D72AE">
      <w:pPr>
        <w:pStyle w:val="Heading4"/>
      </w:pPr>
      <w:r w:rsidRPr="00844A25">
        <w:t>Other gains and losses from other economic flows</w:t>
      </w:r>
    </w:p>
    <w:p w14:paraId="4C5B81D0" w14:textId="77777777" w:rsidR="005D72AE" w:rsidRPr="00844A25" w:rsidRDefault="005D72AE" w:rsidP="005D72AE">
      <w:pPr>
        <w:rPr>
          <w:lang w:val="en-US"/>
        </w:rPr>
      </w:pPr>
      <w:r w:rsidRPr="00844A25">
        <w:rPr>
          <w:lang w:val="en-US"/>
        </w:rPr>
        <w:t>Other gains and losses from other economic flows include the transfer of amounts from reserves and/or accumulated surplus to net result due to disposal, derecognition, or reclassification and the revaluation</w:t>
      </w:r>
      <w:r>
        <w:rPr>
          <w:lang w:val="en-US"/>
        </w:rPr>
        <w:t xml:space="preserve"> </w:t>
      </w:r>
      <w:r w:rsidRPr="00844A25">
        <w:rPr>
          <w:lang w:val="en-US"/>
        </w:rPr>
        <w:t>of the present value of leave liabilities due to changes in bond interest rates.</w:t>
      </w:r>
    </w:p>
    <w:p w14:paraId="6D8FE28D" w14:textId="77777777" w:rsidR="005D72AE" w:rsidRPr="00844A25" w:rsidRDefault="005D72AE" w:rsidP="005D72AE">
      <w:pPr>
        <w:pStyle w:val="Heading3"/>
      </w:pPr>
      <w:r w:rsidRPr="00844A25">
        <w:t>9.2. Change in accounting policies</w:t>
      </w:r>
    </w:p>
    <w:p w14:paraId="43F31AD5" w14:textId="77777777" w:rsidR="005D72AE" w:rsidRPr="00844A25" w:rsidRDefault="005D72AE" w:rsidP="005D72AE">
      <w:pPr>
        <w:pStyle w:val="Heading4"/>
      </w:pPr>
      <w:r w:rsidRPr="00844A25">
        <w:t>9.2.1. Leases</w:t>
      </w:r>
    </w:p>
    <w:p w14:paraId="60592E86" w14:textId="77777777" w:rsidR="005D72AE" w:rsidRPr="00844A25" w:rsidRDefault="005D72AE" w:rsidP="005D72AE">
      <w:pPr>
        <w:rPr>
          <w:lang w:val="en-US"/>
        </w:rPr>
      </w:pPr>
      <w:r w:rsidRPr="00844A25">
        <w:rPr>
          <w:lang w:val="en-US"/>
        </w:rPr>
        <w:t>This note explains the impact of the adoption of AASB 16 on the commission’s financial statements.</w:t>
      </w:r>
    </w:p>
    <w:p w14:paraId="585AC004" w14:textId="77777777" w:rsidR="005D72AE" w:rsidRPr="00844A25" w:rsidRDefault="005D72AE" w:rsidP="005D72AE">
      <w:pPr>
        <w:rPr>
          <w:lang w:val="en-US"/>
        </w:rPr>
      </w:pPr>
      <w:r w:rsidRPr="00844A25">
        <w:rPr>
          <w:lang w:val="en-US"/>
        </w:rPr>
        <w:lastRenderedPageBreak/>
        <w:t>The commission has applied AASB 16 with a date of initial application of 1 July 2019. The commission has elected to apply AASB 16 using the modified retrospective approach, as per the transitional provisions of AASB 16 for all leases for which it is a lessee. The cumulative effect of initial application is recognised in retained earnings as at 1 July 2019. Accordingly, the comparative information presented is not restated</w:t>
      </w:r>
      <w:r>
        <w:rPr>
          <w:lang w:val="en-US"/>
        </w:rPr>
        <w:t xml:space="preserve"> </w:t>
      </w:r>
      <w:r w:rsidRPr="00844A25">
        <w:rPr>
          <w:lang w:val="en-US"/>
        </w:rPr>
        <w:t>and is reported under AASB 117 and related interpretations.</w:t>
      </w:r>
    </w:p>
    <w:p w14:paraId="2C854487" w14:textId="77777777" w:rsidR="005D72AE" w:rsidRPr="00844A25" w:rsidRDefault="005D72AE" w:rsidP="005D72AE">
      <w:pPr>
        <w:rPr>
          <w:lang w:val="en-US"/>
        </w:rPr>
      </w:pPr>
      <w:r w:rsidRPr="00844A25">
        <w:rPr>
          <w:lang w:val="en-US"/>
        </w:rPr>
        <w:t xml:space="preserve">Previously, the commission determined at contract inception whether an arrangement is or contains a lease under AASB 117 </w:t>
      </w:r>
      <w:r w:rsidRPr="00844A25">
        <w:rPr>
          <w:i/>
          <w:iCs/>
          <w:lang w:val="en-US"/>
        </w:rPr>
        <w:t xml:space="preserve">Leases </w:t>
      </w:r>
      <w:r w:rsidRPr="00844A25">
        <w:rPr>
          <w:lang w:val="en-US"/>
        </w:rPr>
        <w:t xml:space="preserve">and Interpretation 4 </w:t>
      </w:r>
      <w:r w:rsidRPr="00844A25">
        <w:rPr>
          <w:i/>
          <w:iCs/>
          <w:lang w:val="en-US"/>
        </w:rPr>
        <w:t>Determining whether an arrangement contains a Lease</w:t>
      </w:r>
      <w:r w:rsidRPr="00844A25">
        <w:rPr>
          <w:lang w:val="en-US"/>
        </w:rPr>
        <w:t>. Under AASB 16, the commission assesses whether a contract is or contains a lease based on the definition of a lease as explained in Note 7.1.</w:t>
      </w:r>
    </w:p>
    <w:p w14:paraId="0FA2B82D" w14:textId="77777777" w:rsidR="005D72AE" w:rsidRPr="00844A25" w:rsidRDefault="005D72AE" w:rsidP="005D72AE">
      <w:pPr>
        <w:rPr>
          <w:lang w:val="en-US"/>
        </w:rPr>
      </w:pPr>
      <w:r w:rsidRPr="00844A25">
        <w:rPr>
          <w:lang w:val="en-US"/>
        </w:rPr>
        <w:t>On transition to AASB 16, the commission has elected to apply the practical expedient to grandfather the assessment of which transactions are leases. It applied AASB 16 only to contracts that were previously identified as leases. Contracts that were not identified as leases under AASB 117 and Interpretation 4 were not reassessed for whether there is a lease. Therefore, the definition of a lease under AASB 16 was applied</w:t>
      </w:r>
      <w:r>
        <w:rPr>
          <w:lang w:val="en-US"/>
        </w:rPr>
        <w:t xml:space="preserve"> </w:t>
      </w:r>
      <w:r w:rsidRPr="00844A25">
        <w:rPr>
          <w:lang w:val="en-US"/>
        </w:rPr>
        <w:t>to contracts entered into or changed on or after 1 July 2019.</w:t>
      </w:r>
    </w:p>
    <w:p w14:paraId="7080549C" w14:textId="77777777" w:rsidR="005D72AE" w:rsidRPr="00A23B89" w:rsidRDefault="005D72AE" w:rsidP="005D72AE">
      <w:pPr>
        <w:pStyle w:val="Heading5"/>
      </w:pPr>
      <w:r w:rsidRPr="00A23B89">
        <w:t>Leases classified as operating leases under AASB 117</w:t>
      </w:r>
    </w:p>
    <w:p w14:paraId="063AE2B5" w14:textId="77777777" w:rsidR="005D72AE" w:rsidRPr="00844A25" w:rsidRDefault="005D72AE" w:rsidP="005D72AE">
      <w:pPr>
        <w:rPr>
          <w:lang w:val="en-US"/>
        </w:rPr>
      </w:pPr>
      <w:r w:rsidRPr="00844A25">
        <w:rPr>
          <w:lang w:val="en-US"/>
        </w:rPr>
        <w:t>As a lessee, the commission previously classified leases as operating or finance leases based on its assessment of whether the lease transferred significantly all of the risks and rewards incidental to ownership of the underlying asset to the commission. Under AASB 16, the commission recognises right-of-use assets and lease liabilities for all leases except where exemption is availed in respect of short-term and low-value leases.</w:t>
      </w:r>
    </w:p>
    <w:p w14:paraId="1C17DAF3" w14:textId="77777777" w:rsidR="005D72AE" w:rsidRPr="00844A25" w:rsidRDefault="005D72AE" w:rsidP="005D72AE">
      <w:pPr>
        <w:rPr>
          <w:b/>
          <w:bCs/>
          <w:lang w:val="en-US"/>
        </w:rPr>
      </w:pPr>
      <w:r w:rsidRPr="00844A25">
        <w:rPr>
          <w:lang w:val="en-US"/>
        </w:rPr>
        <w:t>On adoption of AASB 16, the commission recognised lease liabilities in relation to leases which had previously been classified as operating leases under the principles of AASB 117. These liabilities were measured at the present value of the remaining lease payments, discounted using the commission’s incremental borrowing rate as of 1 July 2019. On transition, right-of-use assets are measured at the amount equal to the lease liability, adjusted by the amount of any prepaid or accrued lease payments relating to that lease recognised in the balance sheet as at 30 June 2019.</w:t>
      </w:r>
    </w:p>
    <w:p w14:paraId="5A3761A9" w14:textId="77777777" w:rsidR="005D72AE" w:rsidRPr="00844A25" w:rsidRDefault="005D72AE" w:rsidP="005D72AE">
      <w:pPr>
        <w:rPr>
          <w:lang w:val="en-US"/>
        </w:rPr>
      </w:pPr>
      <w:r w:rsidRPr="00844A25">
        <w:rPr>
          <w:lang w:val="en-US"/>
        </w:rPr>
        <w:t>The commission has elected to apply the following practical expedients when applying AASB 16 to leases previously classified as operating leases under AASB 117:</w:t>
      </w:r>
    </w:p>
    <w:p w14:paraId="19AA71E1" w14:textId="77777777" w:rsidR="005D72AE" w:rsidRPr="00844A25" w:rsidRDefault="005D72AE" w:rsidP="005D72AE">
      <w:pPr>
        <w:pStyle w:val="ListBullet"/>
        <w:numPr>
          <w:ilvl w:val="0"/>
          <w:numId w:val="1"/>
        </w:numPr>
        <w:spacing w:before="0" w:after="180"/>
        <w:rPr>
          <w:lang w:val="en-US"/>
        </w:rPr>
      </w:pPr>
      <w:r w:rsidRPr="00844A25">
        <w:rPr>
          <w:lang w:val="en-US"/>
        </w:rPr>
        <w:t>applied a single discount rate to a portfolio of leases with similar characteristics</w:t>
      </w:r>
    </w:p>
    <w:p w14:paraId="3ADF8447" w14:textId="77777777" w:rsidR="005D72AE" w:rsidRPr="00844A25" w:rsidRDefault="005D72AE" w:rsidP="005D72AE">
      <w:pPr>
        <w:pStyle w:val="ListBullet"/>
        <w:numPr>
          <w:ilvl w:val="0"/>
          <w:numId w:val="1"/>
        </w:numPr>
        <w:spacing w:before="0" w:after="180"/>
        <w:rPr>
          <w:lang w:val="en-US"/>
        </w:rPr>
      </w:pPr>
      <w:r w:rsidRPr="00844A25">
        <w:rPr>
          <w:lang w:val="en-US"/>
        </w:rPr>
        <w:t>adjusted the right-of-use assets by the amount of AASB 137 onerous contracts provision immediately before the date of initial application, as an alternative to an impairment review</w:t>
      </w:r>
    </w:p>
    <w:p w14:paraId="2BE272D5" w14:textId="77777777" w:rsidR="005D72AE" w:rsidRPr="00844A25" w:rsidRDefault="005D72AE" w:rsidP="005D72AE">
      <w:pPr>
        <w:pStyle w:val="ListBullet"/>
        <w:numPr>
          <w:ilvl w:val="0"/>
          <w:numId w:val="1"/>
        </w:numPr>
        <w:spacing w:before="0" w:after="180"/>
        <w:rPr>
          <w:lang w:val="en-US"/>
        </w:rPr>
      </w:pPr>
      <w:r w:rsidRPr="00844A25">
        <w:rPr>
          <w:lang w:val="en-US"/>
        </w:rPr>
        <w:t>applied the exemption not to recognise right-of-use assets and liabilities for leases with less than</w:t>
      </w:r>
      <w:r>
        <w:rPr>
          <w:lang w:val="en-US"/>
        </w:rPr>
        <w:t xml:space="preserve"> </w:t>
      </w:r>
      <w:r w:rsidRPr="00844A25">
        <w:rPr>
          <w:lang w:val="en-US"/>
        </w:rPr>
        <w:t>12 months of lease term</w:t>
      </w:r>
    </w:p>
    <w:p w14:paraId="295C2375" w14:textId="77777777" w:rsidR="005D72AE" w:rsidRPr="00844A25" w:rsidRDefault="005D72AE" w:rsidP="005D72AE">
      <w:pPr>
        <w:pStyle w:val="ListBullet"/>
        <w:numPr>
          <w:ilvl w:val="0"/>
          <w:numId w:val="1"/>
        </w:numPr>
        <w:spacing w:before="0" w:after="180"/>
        <w:rPr>
          <w:lang w:val="en-US"/>
        </w:rPr>
      </w:pPr>
      <w:r w:rsidRPr="00844A25">
        <w:rPr>
          <w:lang w:val="en-US"/>
        </w:rPr>
        <w:t>excluded initial direct costs from measuring the right-of-use asset at the date of initial application; and</w:t>
      </w:r>
    </w:p>
    <w:p w14:paraId="4EC8FD52" w14:textId="77777777" w:rsidR="005D72AE" w:rsidRPr="00844A25" w:rsidRDefault="005D72AE" w:rsidP="005D72AE">
      <w:pPr>
        <w:pStyle w:val="ListBullet"/>
        <w:numPr>
          <w:ilvl w:val="0"/>
          <w:numId w:val="1"/>
        </w:numPr>
        <w:spacing w:before="0" w:after="180"/>
        <w:rPr>
          <w:lang w:val="en-US"/>
        </w:rPr>
      </w:pPr>
      <w:r w:rsidRPr="00844A25">
        <w:rPr>
          <w:lang w:val="en-US"/>
        </w:rPr>
        <w:t>used hindsight when determining the lease term if the contract contains options to extend or terminate</w:t>
      </w:r>
      <w:r>
        <w:rPr>
          <w:lang w:val="en-US"/>
        </w:rPr>
        <w:t xml:space="preserve"> </w:t>
      </w:r>
      <w:r w:rsidRPr="00844A25">
        <w:rPr>
          <w:lang w:val="en-US"/>
        </w:rPr>
        <w:t>the lease.</w:t>
      </w:r>
    </w:p>
    <w:p w14:paraId="0FAB0703" w14:textId="77777777" w:rsidR="005D72AE" w:rsidRPr="00844A25" w:rsidRDefault="005D72AE" w:rsidP="005D72AE">
      <w:pPr>
        <w:rPr>
          <w:lang w:val="en-US"/>
        </w:rPr>
      </w:pPr>
      <w:r w:rsidRPr="00844A25">
        <w:rPr>
          <w:lang w:val="en-US"/>
        </w:rPr>
        <w:lastRenderedPageBreak/>
        <w:t>For leases that were classified as finance leases under AASB 117, the carrying amount of the right-of-use asset and lease liability at 1 July 2019 are determined as the carrying amount of the lease asset and lease liability under AASB 117 immediately before that date.</w:t>
      </w:r>
    </w:p>
    <w:p w14:paraId="2F38B7DC" w14:textId="77777777" w:rsidR="005D72AE" w:rsidRPr="00844A25" w:rsidRDefault="005D72AE" w:rsidP="005D72AE">
      <w:pPr>
        <w:pStyle w:val="Heading5"/>
        <w:rPr>
          <w:lang w:val="en-US"/>
        </w:rPr>
      </w:pPr>
      <w:r w:rsidRPr="00844A25">
        <w:rPr>
          <w:lang w:val="en-US"/>
        </w:rPr>
        <w:t>Impacts on financial statements</w:t>
      </w:r>
    </w:p>
    <w:p w14:paraId="2DF24E7C" w14:textId="77777777" w:rsidR="005D72AE" w:rsidRPr="00844A25" w:rsidRDefault="005D72AE" w:rsidP="005D72AE">
      <w:pPr>
        <w:rPr>
          <w:lang w:val="en-US"/>
        </w:rPr>
      </w:pPr>
      <w:r w:rsidRPr="00844A25">
        <w:rPr>
          <w:lang w:val="en-US"/>
        </w:rPr>
        <w:t>On transition to AASB 16, the commission recognised $4.8 million of right-of-use assets and $4.8 million</w:t>
      </w:r>
      <w:r>
        <w:rPr>
          <w:lang w:val="en-US"/>
        </w:rPr>
        <w:t xml:space="preserve"> </w:t>
      </w:r>
      <w:r w:rsidRPr="00844A25">
        <w:rPr>
          <w:lang w:val="en-US"/>
        </w:rPr>
        <w:t>of lease liabilities.</w:t>
      </w:r>
    </w:p>
    <w:p w14:paraId="43B9C38A" w14:textId="77777777" w:rsidR="005D72AE" w:rsidRPr="00844A25" w:rsidRDefault="005D72AE" w:rsidP="005D72AE">
      <w:pPr>
        <w:rPr>
          <w:lang w:val="en-US"/>
        </w:rPr>
      </w:pPr>
      <w:r w:rsidRPr="00844A25">
        <w:rPr>
          <w:lang w:val="en-US"/>
        </w:rPr>
        <w:t>When measuring lease liabilities, the commission discounted lease payments using its incremental borrowing rate at 1 July 2019. The weighted average rate applied is 2.32%.</w:t>
      </w:r>
    </w:p>
    <w:tbl>
      <w:tblPr>
        <w:tblStyle w:val="PlainTable2"/>
        <w:tblW w:w="9158" w:type="dxa"/>
        <w:tblInd w:w="-5" w:type="dxa"/>
        <w:tblLayout w:type="fixed"/>
        <w:tblLook w:val="0020" w:firstRow="1" w:lastRow="0" w:firstColumn="0" w:lastColumn="0" w:noHBand="0" w:noVBand="0"/>
      </w:tblPr>
      <w:tblGrid>
        <w:gridCol w:w="7754"/>
        <w:gridCol w:w="1404"/>
      </w:tblGrid>
      <w:tr w:rsidR="005D72AE" w:rsidRPr="00844A25" w14:paraId="7A5AC861" w14:textId="77777777" w:rsidTr="00FA2A1A">
        <w:trPr>
          <w:cnfStyle w:val="100000000000" w:firstRow="1" w:lastRow="0" w:firstColumn="0" w:lastColumn="0" w:oddVBand="0" w:evenVBand="0" w:oddHBand="0" w:evenHBand="0" w:firstRowFirstColumn="0" w:firstRowLastColumn="0" w:lastRowFirstColumn="0" w:lastRowLastColumn="0"/>
          <w:trHeight w:val="430"/>
        </w:trPr>
        <w:tc>
          <w:tcPr>
            <w:cnfStyle w:val="000010000000" w:firstRow="0" w:lastRow="0" w:firstColumn="0" w:lastColumn="0" w:oddVBand="1" w:evenVBand="0" w:oddHBand="0" w:evenHBand="0" w:firstRowFirstColumn="0" w:firstRowLastColumn="0" w:lastRowFirstColumn="0" w:lastRowLastColumn="0"/>
            <w:tcW w:w="7754" w:type="dxa"/>
          </w:tcPr>
          <w:p w14:paraId="488F4C77" w14:textId="77777777" w:rsidR="005D72AE" w:rsidRPr="00A23B89" w:rsidRDefault="005D72AE" w:rsidP="00FA2A1A">
            <w:pPr>
              <w:rPr>
                <w:b w:val="0"/>
                <w:bCs w:val="0"/>
                <w:lang w:val="en-GB"/>
              </w:rPr>
            </w:pPr>
          </w:p>
        </w:tc>
        <w:tc>
          <w:tcPr>
            <w:cnfStyle w:val="000001000000" w:firstRow="0" w:lastRow="0" w:firstColumn="0" w:lastColumn="0" w:oddVBand="0" w:evenVBand="1" w:oddHBand="0" w:evenHBand="0" w:firstRowFirstColumn="0" w:firstRowLastColumn="0" w:lastRowFirstColumn="0" w:lastRowLastColumn="0"/>
            <w:tcW w:w="1404" w:type="dxa"/>
          </w:tcPr>
          <w:p w14:paraId="3C754813" w14:textId="77777777" w:rsidR="005D72AE" w:rsidRPr="00844A25" w:rsidRDefault="005D72AE" w:rsidP="00FA2A1A">
            <w:pPr>
              <w:rPr>
                <w:lang w:val="en-US"/>
              </w:rPr>
            </w:pPr>
            <w:r w:rsidRPr="00844A25">
              <w:rPr>
                <w:lang w:val="en-US"/>
              </w:rPr>
              <w:t>1 July 2019</w:t>
            </w:r>
          </w:p>
        </w:tc>
      </w:tr>
      <w:tr w:rsidR="005D72AE" w:rsidRPr="00844A25" w14:paraId="3F6C0F81" w14:textId="77777777" w:rsidTr="00FA2A1A">
        <w:trPr>
          <w:cnfStyle w:val="000000100000" w:firstRow="0" w:lastRow="0" w:firstColumn="0" w:lastColumn="0" w:oddVBand="0" w:evenVBand="0" w:oddHBand="1" w:evenHBand="0" w:firstRowFirstColumn="0" w:firstRowLastColumn="0" w:lastRowFirstColumn="0" w:lastRowLastColumn="0"/>
          <w:trHeight w:val="433"/>
        </w:trPr>
        <w:tc>
          <w:tcPr>
            <w:cnfStyle w:val="000010000000" w:firstRow="0" w:lastRow="0" w:firstColumn="0" w:lastColumn="0" w:oddVBand="1" w:evenVBand="0" w:oddHBand="0" w:evenHBand="0" w:firstRowFirstColumn="0" w:firstRowLastColumn="0" w:lastRowFirstColumn="0" w:lastRowLastColumn="0"/>
            <w:tcW w:w="7754" w:type="dxa"/>
          </w:tcPr>
          <w:p w14:paraId="07C63C62" w14:textId="77777777" w:rsidR="005D72AE" w:rsidRPr="00A23B89"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404" w:type="dxa"/>
          </w:tcPr>
          <w:p w14:paraId="5B073AEA" w14:textId="77777777" w:rsidR="005D72AE" w:rsidRPr="00844A25" w:rsidRDefault="005D72AE" w:rsidP="00FA2A1A">
            <w:pPr>
              <w:rPr>
                <w:lang w:val="en-US"/>
              </w:rPr>
            </w:pPr>
            <w:r w:rsidRPr="00844A25">
              <w:rPr>
                <w:lang w:val="en-US"/>
              </w:rPr>
              <w:t>$</w:t>
            </w:r>
          </w:p>
        </w:tc>
      </w:tr>
      <w:tr w:rsidR="005D72AE" w:rsidRPr="00844A25" w14:paraId="38E7B654" w14:textId="77777777" w:rsidTr="00FA2A1A">
        <w:trPr>
          <w:trHeight w:val="430"/>
        </w:trPr>
        <w:tc>
          <w:tcPr>
            <w:cnfStyle w:val="000010000000" w:firstRow="0" w:lastRow="0" w:firstColumn="0" w:lastColumn="0" w:oddVBand="1" w:evenVBand="0" w:oddHBand="0" w:evenHBand="0" w:firstRowFirstColumn="0" w:firstRowLastColumn="0" w:lastRowFirstColumn="0" w:lastRowLastColumn="0"/>
            <w:tcW w:w="7754" w:type="dxa"/>
          </w:tcPr>
          <w:p w14:paraId="2F9BA24E" w14:textId="77777777" w:rsidR="005D72AE" w:rsidRPr="00844A25" w:rsidRDefault="005D72AE" w:rsidP="00FA2A1A">
            <w:pPr>
              <w:rPr>
                <w:lang w:val="en-US"/>
              </w:rPr>
            </w:pPr>
            <w:r w:rsidRPr="00844A25">
              <w:rPr>
                <w:lang w:val="en-US"/>
              </w:rPr>
              <w:t>Total operating lease commitments disclosed at 30 June 2019</w:t>
            </w:r>
          </w:p>
        </w:tc>
        <w:tc>
          <w:tcPr>
            <w:cnfStyle w:val="000001000000" w:firstRow="0" w:lastRow="0" w:firstColumn="0" w:lastColumn="0" w:oddVBand="0" w:evenVBand="1" w:oddHBand="0" w:evenHBand="0" w:firstRowFirstColumn="0" w:firstRowLastColumn="0" w:lastRowFirstColumn="0" w:lastRowLastColumn="0"/>
            <w:tcW w:w="1404" w:type="dxa"/>
          </w:tcPr>
          <w:p w14:paraId="00AE4708" w14:textId="77777777" w:rsidR="005D72AE" w:rsidRPr="00844A25" w:rsidRDefault="005D72AE" w:rsidP="00FA2A1A">
            <w:pPr>
              <w:rPr>
                <w:lang w:val="en-US"/>
              </w:rPr>
            </w:pPr>
            <w:r w:rsidRPr="00844A25">
              <w:rPr>
                <w:lang w:val="en-US"/>
              </w:rPr>
              <w:t>2,530,219</w:t>
            </w:r>
          </w:p>
        </w:tc>
      </w:tr>
      <w:tr w:rsidR="005D72AE" w:rsidRPr="00844A25" w14:paraId="1C72BC1D" w14:textId="77777777" w:rsidTr="00FA2A1A">
        <w:trPr>
          <w:cnfStyle w:val="000000100000" w:firstRow="0" w:lastRow="0" w:firstColumn="0" w:lastColumn="0" w:oddVBand="0" w:evenVBand="0" w:oddHBand="1" w:evenHBand="0" w:firstRowFirstColumn="0" w:firstRowLastColumn="0" w:lastRowFirstColumn="0" w:lastRowLastColumn="0"/>
          <w:trHeight w:val="430"/>
        </w:trPr>
        <w:tc>
          <w:tcPr>
            <w:cnfStyle w:val="000010000000" w:firstRow="0" w:lastRow="0" w:firstColumn="0" w:lastColumn="0" w:oddVBand="1" w:evenVBand="0" w:oddHBand="0" w:evenHBand="0" w:firstRowFirstColumn="0" w:firstRowLastColumn="0" w:lastRowFirstColumn="0" w:lastRowLastColumn="0"/>
            <w:tcW w:w="7754" w:type="dxa"/>
          </w:tcPr>
          <w:p w14:paraId="2C4A85BE" w14:textId="77777777" w:rsidR="005D72AE" w:rsidRPr="00844A25" w:rsidRDefault="005D72AE" w:rsidP="00FA2A1A">
            <w:pPr>
              <w:rPr>
                <w:lang w:val="en-US"/>
              </w:rPr>
            </w:pPr>
            <w:r w:rsidRPr="00844A25">
              <w:rPr>
                <w:lang w:val="en-US"/>
              </w:rPr>
              <w:t>Discounted using the incremental borrowing rate at 1 July 2019</w:t>
            </w:r>
          </w:p>
        </w:tc>
        <w:tc>
          <w:tcPr>
            <w:cnfStyle w:val="000001000000" w:firstRow="0" w:lastRow="0" w:firstColumn="0" w:lastColumn="0" w:oddVBand="0" w:evenVBand="1" w:oddHBand="0" w:evenHBand="0" w:firstRowFirstColumn="0" w:firstRowLastColumn="0" w:lastRowFirstColumn="0" w:lastRowLastColumn="0"/>
            <w:tcW w:w="1404" w:type="dxa"/>
          </w:tcPr>
          <w:p w14:paraId="41F98511" w14:textId="77777777" w:rsidR="005D72AE" w:rsidRPr="00844A25" w:rsidRDefault="005D72AE" w:rsidP="00FA2A1A">
            <w:pPr>
              <w:rPr>
                <w:lang w:val="en-US"/>
              </w:rPr>
            </w:pPr>
            <w:r w:rsidRPr="00844A25">
              <w:rPr>
                <w:lang w:val="en-US"/>
              </w:rPr>
              <w:t>2,431,986</w:t>
            </w:r>
          </w:p>
        </w:tc>
      </w:tr>
      <w:tr w:rsidR="005D72AE" w:rsidRPr="00844A25" w14:paraId="6BF73C8A" w14:textId="77777777" w:rsidTr="00FA2A1A">
        <w:trPr>
          <w:trHeight w:val="430"/>
        </w:trPr>
        <w:tc>
          <w:tcPr>
            <w:cnfStyle w:val="000010000000" w:firstRow="0" w:lastRow="0" w:firstColumn="0" w:lastColumn="0" w:oddVBand="1" w:evenVBand="0" w:oddHBand="0" w:evenHBand="0" w:firstRowFirstColumn="0" w:firstRowLastColumn="0" w:lastRowFirstColumn="0" w:lastRowLastColumn="0"/>
            <w:tcW w:w="7754" w:type="dxa"/>
          </w:tcPr>
          <w:p w14:paraId="78A75D54" w14:textId="77777777" w:rsidR="005D72AE" w:rsidRPr="00844A25" w:rsidRDefault="005D72AE" w:rsidP="00FA2A1A">
            <w:pPr>
              <w:rPr>
                <w:lang w:val="en-US"/>
              </w:rPr>
            </w:pPr>
            <w:r w:rsidRPr="00844A25">
              <w:rPr>
                <w:lang w:val="en-US"/>
              </w:rPr>
              <w:t>Discounted options to be exercised using the incremental borrowing rate at 1 July 2019</w:t>
            </w:r>
          </w:p>
        </w:tc>
        <w:tc>
          <w:tcPr>
            <w:cnfStyle w:val="000001000000" w:firstRow="0" w:lastRow="0" w:firstColumn="0" w:lastColumn="0" w:oddVBand="0" w:evenVBand="1" w:oddHBand="0" w:evenHBand="0" w:firstRowFirstColumn="0" w:firstRowLastColumn="0" w:lastRowFirstColumn="0" w:lastRowLastColumn="0"/>
            <w:tcW w:w="1404" w:type="dxa"/>
          </w:tcPr>
          <w:p w14:paraId="47B45394" w14:textId="77777777" w:rsidR="005D72AE" w:rsidRPr="00844A25" w:rsidRDefault="005D72AE" w:rsidP="00FA2A1A">
            <w:pPr>
              <w:rPr>
                <w:lang w:val="en-US"/>
              </w:rPr>
            </w:pPr>
            <w:r w:rsidRPr="00844A25">
              <w:rPr>
                <w:lang w:val="en-US"/>
              </w:rPr>
              <w:t>2,402,494</w:t>
            </w:r>
          </w:p>
        </w:tc>
      </w:tr>
      <w:tr w:rsidR="005D72AE" w:rsidRPr="00844A25" w14:paraId="219D8258" w14:textId="77777777" w:rsidTr="00FA2A1A">
        <w:trPr>
          <w:cnfStyle w:val="000000100000" w:firstRow="0" w:lastRow="0" w:firstColumn="0" w:lastColumn="0" w:oddVBand="0" w:evenVBand="0" w:oddHBand="1" w:evenHBand="0" w:firstRowFirstColumn="0" w:firstRowLastColumn="0" w:lastRowFirstColumn="0" w:lastRowLastColumn="0"/>
          <w:trHeight w:val="430"/>
        </w:trPr>
        <w:tc>
          <w:tcPr>
            <w:cnfStyle w:val="000010000000" w:firstRow="0" w:lastRow="0" w:firstColumn="0" w:lastColumn="0" w:oddVBand="1" w:evenVBand="0" w:oddHBand="0" w:evenHBand="0" w:firstRowFirstColumn="0" w:firstRowLastColumn="0" w:lastRowFirstColumn="0" w:lastRowLastColumn="0"/>
            <w:tcW w:w="7754" w:type="dxa"/>
          </w:tcPr>
          <w:p w14:paraId="06DA69EE" w14:textId="77777777" w:rsidR="005D72AE" w:rsidRPr="00844A25" w:rsidRDefault="005D72AE" w:rsidP="00FA2A1A">
            <w:pPr>
              <w:rPr>
                <w:lang w:val="en-US"/>
              </w:rPr>
            </w:pPr>
            <w:r w:rsidRPr="00844A25">
              <w:rPr>
                <w:lang w:val="en-US"/>
              </w:rPr>
              <w:t>Finance lease liabilities as at 30 June 2019</w:t>
            </w:r>
          </w:p>
        </w:tc>
        <w:tc>
          <w:tcPr>
            <w:cnfStyle w:val="000001000000" w:firstRow="0" w:lastRow="0" w:firstColumn="0" w:lastColumn="0" w:oddVBand="0" w:evenVBand="1" w:oddHBand="0" w:evenHBand="0" w:firstRowFirstColumn="0" w:firstRowLastColumn="0" w:lastRowFirstColumn="0" w:lastRowLastColumn="0"/>
            <w:tcW w:w="1404" w:type="dxa"/>
          </w:tcPr>
          <w:p w14:paraId="041E833E" w14:textId="77777777" w:rsidR="005D72AE" w:rsidRPr="00844A25" w:rsidRDefault="005D72AE" w:rsidP="00FA2A1A">
            <w:pPr>
              <w:rPr>
                <w:lang w:val="en-US"/>
              </w:rPr>
            </w:pPr>
            <w:r w:rsidRPr="00844A25">
              <w:rPr>
                <w:lang w:val="en-US"/>
              </w:rPr>
              <w:t>-</w:t>
            </w:r>
          </w:p>
        </w:tc>
      </w:tr>
      <w:tr w:rsidR="005D72AE" w:rsidRPr="00844A25" w14:paraId="346F221D" w14:textId="77777777" w:rsidTr="00FA2A1A">
        <w:trPr>
          <w:trHeight w:val="430"/>
        </w:trPr>
        <w:tc>
          <w:tcPr>
            <w:cnfStyle w:val="000010000000" w:firstRow="0" w:lastRow="0" w:firstColumn="0" w:lastColumn="0" w:oddVBand="1" w:evenVBand="0" w:oddHBand="0" w:evenHBand="0" w:firstRowFirstColumn="0" w:firstRowLastColumn="0" w:lastRowFirstColumn="0" w:lastRowLastColumn="0"/>
            <w:tcW w:w="7754" w:type="dxa"/>
          </w:tcPr>
          <w:p w14:paraId="329E32E0" w14:textId="77777777" w:rsidR="005D72AE" w:rsidRPr="00844A25" w:rsidRDefault="005D72AE" w:rsidP="00FA2A1A">
            <w:pPr>
              <w:rPr>
                <w:lang w:val="en-US"/>
              </w:rPr>
            </w:pPr>
            <w:r w:rsidRPr="00844A25">
              <w:rPr>
                <w:lang w:val="en-US"/>
              </w:rPr>
              <w:t>Recognition exemption for:</w:t>
            </w:r>
          </w:p>
        </w:tc>
        <w:tc>
          <w:tcPr>
            <w:cnfStyle w:val="000001000000" w:firstRow="0" w:lastRow="0" w:firstColumn="0" w:lastColumn="0" w:oddVBand="0" w:evenVBand="1" w:oddHBand="0" w:evenHBand="0" w:firstRowFirstColumn="0" w:firstRowLastColumn="0" w:lastRowFirstColumn="0" w:lastRowLastColumn="0"/>
            <w:tcW w:w="1404" w:type="dxa"/>
          </w:tcPr>
          <w:p w14:paraId="7A128B18" w14:textId="77777777" w:rsidR="005D72AE" w:rsidRPr="00844A25" w:rsidRDefault="005D72AE" w:rsidP="00FA2A1A">
            <w:pPr>
              <w:rPr>
                <w:lang w:val="en-GB"/>
              </w:rPr>
            </w:pPr>
          </w:p>
        </w:tc>
      </w:tr>
      <w:tr w:rsidR="005D72AE" w:rsidRPr="00844A25" w14:paraId="1D5E18AE" w14:textId="77777777" w:rsidTr="00FA2A1A">
        <w:trPr>
          <w:cnfStyle w:val="000000100000" w:firstRow="0" w:lastRow="0" w:firstColumn="0" w:lastColumn="0" w:oddVBand="0" w:evenVBand="0" w:oddHBand="1" w:evenHBand="0" w:firstRowFirstColumn="0" w:firstRowLastColumn="0" w:lastRowFirstColumn="0" w:lastRowLastColumn="0"/>
          <w:trHeight w:val="430"/>
        </w:trPr>
        <w:tc>
          <w:tcPr>
            <w:cnfStyle w:val="000010000000" w:firstRow="0" w:lastRow="0" w:firstColumn="0" w:lastColumn="0" w:oddVBand="1" w:evenVBand="0" w:oddHBand="0" w:evenHBand="0" w:firstRowFirstColumn="0" w:firstRowLastColumn="0" w:lastRowFirstColumn="0" w:lastRowLastColumn="0"/>
            <w:tcW w:w="7754" w:type="dxa"/>
          </w:tcPr>
          <w:p w14:paraId="267C78E5" w14:textId="77777777" w:rsidR="005D72AE" w:rsidRPr="00844A25" w:rsidRDefault="005D72AE" w:rsidP="00FA2A1A">
            <w:pPr>
              <w:rPr>
                <w:lang w:val="en-US"/>
              </w:rPr>
            </w:pPr>
            <w:r w:rsidRPr="00844A25">
              <w:rPr>
                <w:lang w:val="en-US"/>
              </w:rPr>
              <w:t>Short-term leases</w:t>
            </w:r>
          </w:p>
        </w:tc>
        <w:tc>
          <w:tcPr>
            <w:cnfStyle w:val="000001000000" w:firstRow="0" w:lastRow="0" w:firstColumn="0" w:lastColumn="0" w:oddVBand="0" w:evenVBand="1" w:oddHBand="0" w:evenHBand="0" w:firstRowFirstColumn="0" w:firstRowLastColumn="0" w:lastRowFirstColumn="0" w:lastRowLastColumn="0"/>
            <w:tcW w:w="1404" w:type="dxa"/>
          </w:tcPr>
          <w:p w14:paraId="1036B22D" w14:textId="77777777" w:rsidR="005D72AE" w:rsidRPr="00844A25" w:rsidRDefault="005D72AE" w:rsidP="00FA2A1A">
            <w:pPr>
              <w:rPr>
                <w:lang w:val="en-US"/>
              </w:rPr>
            </w:pPr>
            <w:r w:rsidRPr="00844A25">
              <w:rPr>
                <w:lang w:val="en-US"/>
              </w:rPr>
              <w:t>-</w:t>
            </w:r>
          </w:p>
        </w:tc>
      </w:tr>
      <w:tr w:rsidR="005D72AE" w:rsidRPr="00844A25" w14:paraId="37247635" w14:textId="77777777" w:rsidTr="00FA2A1A">
        <w:trPr>
          <w:trHeight w:val="430"/>
        </w:trPr>
        <w:tc>
          <w:tcPr>
            <w:cnfStyle w:val="000010000000" w:firstRow="0" w:lastRow="0" w:firstColumn="0" w:lastColumn="0" w:oddVBand="1" w:evenVBand="0" w:oddHBand="0" w:evenHBand="0" w:firstRowFirstColumn="0" w:firstRowLastColumn="0" w:lastRowFirstColumn="0" w:lastRowLastColumn="0"/>
            <w:tcW w:w="7754" w:type="dxa"/>
          </w:tcPr>
          <w:p w14:paraId="3DE584C2" w14:textId="77777777" w:rsidR="005D72AE" w:rsidRPr="00844A25" w:rsidRDefault="005D72AE" w:rsidP="00FA2A1A">
            <w:pPr>
              <w:rPr>
                <w:lang w:val="en-US"/>
              </w:rPr>
            </w:pPr>
            <w:r w:rsidRPr="00844A25">
              <w:rPr>
                <w:lang w:val="en-US"/>
              </w:rPr>
              <w:t>Leases of low-value assets</w:t>
            </w:r>
          </w:p>
        </w:tc>
        <w:tc>
          <w:tcPr>
            <w:cnfStyle w:val="000001000000" w:firstRow="0" w:lastRow="0" w:firstColumn="0" w:lastColumn="0" w:oddVBand="0" w:evenVBand="1" w:oddHBand="0" w:evenHBand="0" w:firstRowFirstColumn="0" w:firstRowLastColumn="0" w:lastRowFirstColumn="0" w:lastRowLastColumn="0"/>
            <w:tcW w:w="1404" w:type="dxa"/>
          </w:tcPr>
          <w:p w14:paraId="2922CD23" w14:textId="77777777" w:rsidR="005D72AE" w:rsidRPr="00844A25" w:rsidRDefault="005D72AE" w:rsidP="00FA2A1A">
            <w:pPr>
              <w:rPr>
                <w:lang w:val="en-US"/>
              </w:rPr>
            </w:pPr>
            <w:r w:rsidRPr="00844A25">
              <w:rPr>
                <w:lang w:val="en-US"/>
              </w:rPr>
              <w:t>-</w:t>
            </w:r>
          </w:p>
        </w:tc>
      </w:tr>
      <w:tr w:rsidR="005D72AE" w:rsidRPr="00844A25" w14:paraId="67D6A95D" w14:textId="77777777" w:rsidTr="00FA2A1A">
        <w:trPr>
          <w:cnfStyle w:val="000000100000" w:firstRow="0" w:lastRow="0" w:firstColumn="0" w:lastColumn="0" w:oddVBand="0" w:evenVBand="0" w:oddHBand="1" w:evenHBand="0" w:firstRowFirstColumn="0" w:firstRowLastColumn="0" w:lastRowFirstColumn="0" w:lastRowLastColumn="0"/>
          <w:trHeight w:val="430"/>
        </w:trPr>
        <w:tc>
          <w:tcPr>
            <w:cnfStyle w:val="000010000000" w:firstRow="0" w:lastRow="0" w:firstColumn="0" w:lastColumn="0" w:oddVBand="1" w:evenVBand="0" w:oddHBand="0" w:evenHBand="0" w:firstRowFirstColumn="0" w:firstRowLastColumn="0" w:lastRowFirstColumn="0" w:lastRowLastColumn="0"/>
            <w:tcW w:w="7754" w:type="dxa"/>
          </w:tcPr>
          <w:p w14:paraId="0CD79577" w14:textId="77777777" w:rsidR="005D72AE" w:rsidRPr="00A23B89" w:rsidRDefault="005D72AE" w:rsidP="00FA2A1A">
            <w:pPr>
              <w:rPr>
                <w:b/>
                <w:bCs/>
                <w:lang w:val="en-US"/>
              </w:rPr>
            </w:pPr>
            <w:r w:rsidRPr="00A23B89">
              <w:rPr>
                <w:b/>
                <w:bCs/>
                <w:lang w:val="en-US"/>
              </w:rPr>
              <w:t>Lease liabilities recognised at 1 July 2019</w:t>
            </w:r>
          </w:p>
        </w:tc>
        <w:tc>
          <w:tcPr>
            <w:cnfStyle w:val="000001000000" w:firstRow="0" w:lastRow="0" w:firstColumn="0" w:lastColumn="0" w:oddVBand="0" w:evenVBand="1" w:oddHBand="0" w:evenHBand="0" w:firstRowFirstColumn="0" w:firstRowLastColumn="0" w:lastRowFirstColumn="0" w:lastRowLastColumn="0"/>
            <w:tcW w:w="1404" w:type="dxa"/>
          </w:tcPr>
          <w:p w14:paraId="458DB146" w14:textId="77777777" w:rsidR="005D72AE" w:rsidRPr="00A23B89" w:rsidRDefault="005D72AE" w:rsidP="00FA2A1A">
            <w:pPr>
              <w:rPr>
                <w:b/>
                <w:bCs/>
                <w:lang w:val="en-US"/>
              </w:rPr>
            </w:pPr>
            <w:r w:rsidRPr="00A23B89">
              <w:rPr>
                <w:b/>
                <w:bCs/>
                <w:lang w:val="en-US"/>
              </w:rPr>
              <w:t>4,834,480</w:t>
            </w:r>
          </w:p>
        </w:tc>
      </w:tr>
    </w:tbl>
    <w:p w14:paraId="312C33F2" w14:textId="77777777" w:rsidR="005D72AE" w:rsidRPr="00A23B89" w:rsidRDefault="005D72AE" w:rsidP="005D72AE">
      <w:pPr>
        <w:pStyle w:val="Heading5"/>
      </w:pPr>
      <w:r w:rsidRPr="00A23B89">
        <w:t>Centralised Accommodation Management</w:t>
      </w:r>
    </w:p>
    <w:p w14:paraId="07D1989E" w14:textId="77777777" w:rsidR="005D72AE" w:rsidRPr="00844A25" w:rsidRDefault="005D72AE" w:rsidP="005D72AE">
      <w:pPr>
        <w:rPr>
          <w:lang w:val="en-US"/>
        </w:rPr>
      </w:pPr>
      <w:r w:rsidRPr="00844A25">
        <w:rPr>
          <w:lang w:val="en-US"/>
        </w:rPr>
        <w:t>In April 2019, the Expenditure Review Committee approved the Centralised Accommodation Management (CAM) savings initiative to leverage off DTF Shared Service Provider’s (SSP) property function. CAM has been established to derive efficiencies and cost savings through the provision of a consistent whole of government shared accommodation service.</w:t>
      </w:r>
    </w:p>
    <w:p w14:paraId="0ED8A6BD" w14:textId="77777777" w:rsidR="005D72AE" w:rsidRPr="00844A25" w:rsidRDefault="005D72AE" w:rsidP="005D72AE">
      <w:pPr>
        <w:rPr>
          <w:lang w:val="en-US"/>
        </w:rPr>
      </w:pPr>
      <w:r w:rsidRPr="00844A25">
        <w:rPr>
          <w:lang w:val="en-US"/>
        </w:rPr>
        <w:t>In October 2019, SSP commenced a phased transition of the CAM model to ensure its operational readiness. As part of the implementation of CAM, SSP managed the whole of government’s accommodation related service payments. Accordingly, the whole of government departments’ and portfolio agencies’ right-of-use lease accommodation assets and associated liabilities were transferred to DTF. These accommodation leases and corresponding liabilities were recognised on 1 November 2019 as contributions by owners - transfer of net assets. No income or expense has been recognised by the commission in respect of the net assets transferred.</w:t>
      </w:r>
    </w:p>
    <w:p w14:paraId="28816320" w14:textId="77777777" w:rsidR="005D72AE" w:rsidRPr="00844A25" w:rsidRDefault="005D72AE" w:rsidP="005D72AE">
      <w:pPr>
        <w:rPr>
          <w:lang w:val="en-US"/>
        </w:rPr>
      </w:pPr>
      <w:r w:rsidRPr="00844A25">
        <w:rPr>
          <w:lang w:val="en-US"/>
        </w:rPr>
        <w:lastRenderedPageBreak/>
        <w:t>The initial transition of the CAM model in October 2019 covers only the commission’s accommodation lease payments. The related leasehold improvements and make good provision on the accommodation will be transferred to SSP in the next phase and remain in the commission’s financial statements as at 30 June 2020.</w:t>
      </w:r>
    </w:p>
    <w:p w14:paraId="06C47A86" w14:textId="77777777" w:rsidR="005D72AE" w:rsidRPr="00844A25" w:rsidRDefault="005D72AE" w:rsidP="005D72AE">
      <w:pPr>
        <w:pStyle w:val="Heading4"/>
      </w:pPr>
      <w:r w:rsidRPr="00844A25">
        <w:t xml:space="preserve">9.2.2. Revenue from Contracts with Customers </w:t>
      </w:r>
    </w:p>
    <w:p w14:paraId="3A9D2D7D" w14:textId="77777777" w:rsidR="005D72AE" w:rsidRPr="00844A25" w:rsidRDefault="005D72AE" w:rsidP="005D72AE">
      <w:pPr>
        <w:rPr>
          <w:lang w:val="en-US"/>
        </w:rPr>
      </w:pPr>
      <w:r w:rsidRPr="00844A25">
        <w:rPr>
          <w:lang w:val="en-US"/>
        </w:rPr>
        <w:t xml:space="preserve">In accordance with FRD 121 </w:t>
      </w:r>
      <w:r w:rsidRPr="00844A25">
        <w:rPr>
          <w:i/>
          <w:iCs/>
          <w:lang w:val="en-US"/>
        </w:rPr>
        <w:t>Transitional requirements on the application of AASB 15</w:t>
      </w:r>
      <w:r w:rsidRPr="00844A25">
        <w:rPr>
          <w:lang w:val="en-US"/>
        </w:rPr>
        <w:t xml:space="preserve"> </w:t>
      </w:r>
      <w:r w:rsidRPr="00844A25">
        <w:rPr>
          <w:i/>
          <w:iCs/>
          <w:lang w:val="en-US"/>
        </w:rPr>
        <w:t>Revenue from Contracts with Customers</w:t>
      </w:r>
      <w:r w:rsidRPr="00844A25">
        <w:rPr>
          <w:lang w:val="en-US"/>
        </w:rPr>
        <w:t>, the commission has applied the transitional provisions of AASB 15, retrospectively with the cumulative effect of initially applying this standard against the opening retained earnings at 1 July 2019. Under this transition method, the commission applied this standard retrospectively only to contracts that are not ‘completed contracts’ at the date of initial application.</w:t>
      </w:r>
    </w:p>
    <w:p w14:paraId="3AE6E0D6" w14:textId="77777777" w:rsidR="005D72AE" w:rsidRPr="00844A25" w:rsidRDefault="005D72AE" w:rsidP="005D72AE">
      <w:pPr>
        <w:rPr>
          <w:lang w:val="en-US"/>
        </w:rPr>
      </w:pPr>
      <w:r w:rsidRPr="00844A25">
        <w:rPr>
          <w:lang w:val="en-US"/>
        </w:rPr>
        <w:t>Comparative information has not been restated. The adoption of AASB 15 did not have an impact for the 2020 financial year.</w:t>
      </w:r>
    </w:p>
    <w:p w14:paraId="464C5612" w14:textId="77777777" w:rsidR="005D72AE" w:rsidRPr="00844A25" w:rsidRDefault="005D72AE" w:rsidP="005D72AE">
      <w:pPr>
        <w:pStyle w:val="Heading4"/>
      </w:pPr>
      <w:r w:rsidRPr="00844A25">
        <w:t>9.2.3. Income of Not-for-Profit Entities</w:t>
      </w:r>
    </w:p>
    <w:p w14:paraId="798ED2B1" w14:textId="77777777" w:rsidR="005D72AE" w:rsidRPr="00844A25" w:rsidRDefault="005D72AE" w:rsidP="005D72AE">
      <w:pPr>
        <w:rPr>
          <w:lang w:val="en-US"/>
        </w:rPr>
      </w:pPr>
      <w:r w:rsidRPr="00844A25">
        <w:rPr>
          <w:lang w:val="en-US"/>
        </w:rPr>
        <w:t xml:space="preserve">In accordance with FRD 122 </w:t>
      </w:r>
      <w:r w:rsidRPr="00844A25">
        <w:rPr>
          <w:i/>
          <w:iCs/>
          <w:lang w:val="en-US"/>
        </w:rPr>
        <w:t>Transitional requirements on the application of AASB 1058 Income of Not-for-Profit Entities</w:t>
      </w:r>
      <w:r w:rsidRPr="00844A25">
        <w:rPr>
          <w:lang w:val="en-US"/>
        </w:rPr>
        <w:t>, the commission has applied the transitional provision of AASB 1058, retrospectively with the cumulative effect of initially applying this standard against the opening retained earnings at 1 July 2019. Under this transition method, the commission applied this standard retrospectively only to contracts and transactions that are not completed contracts at the date of initial application.</w:t>
      </w:r>
    </w:p>
    <w:p w14:paraId="7735CE8D" w14:textId="77777777" w:rsidR="005D72AE" w:rsidRPr="00844A25" w:rsidRDefault="005D72AE" w:rsidP="005D72AE">
      <w:pPr>
        <w:rPr>
          <w:lang w:val="en-US"/>
        </w:rPr>
      </w:pPr>
      <w:r w:rsidRPr="00844A25">
        <w:rPr>
          <w:lang w:val="en-US"/>
        </w:rPr>
        <w:t>Comparative information has not been restated. The adoption of AASB 1058 did not have an impact for the 2020 financial year.</w:t>
      </w:r>
    </w:p>
    <w:p w14:paraId="6641F9F8" w14:textId="77777777" w:rsidR="005D72AE" w:rsidRPr="00844A25" w:rsidRDefault="005D72AE" w:rsidP="005D72AE">
      <w:pPr>
        <w:pStyle w:val="Heading4"/>
      </w:pPr>
      <w:r w:rsidRPr="00844A25">
        <w:t>9.2.4. Transition impact on financial statements</w:t>
      </w:r>
    </w:p>
    <w:p w14:paraId="0C1F9DF3" w14:textId="77777777" w:rsidR="005D72AE" w:rsidRPr="00844A25" w:rsidRDefault="005D72AE" w:rsidP="005D72AE">
      <w:pPr>
        <w:rPr>
          <w:lang w:val="en-US"/>
        </w:rPr>
      </w:pPr>
      <w:r w:rsidRPr="00844A25">
        <w:rPr>
          <w:lang w:val="en-US"/>
        </w:rPr>
        <w:t>This note explains the impact of the adoption of the following new accounting standards for the first time,</w:t>
      </w:r>
      <w:r>
        <w:rPr>
          <w:lang w:val="en-US"/>
        </w:rPr>
        <w:t xml:space="preserve"> </w:t>
      </w:r>
      <w:r w:rsidRPr="00844A25">
        <w:rPr>
          <w:lang w:val="en-US"/>
        </w:rPr>
        <w:t>from 1 July 2019:</w:t>
      </w:r>
    </w:p>
    <w:p w14:paraId="33FB3A9C" w14:textId="77777777" w:rsidR="005D72AE" w:rsidRPr="00844A25" w:rsidRDefault="005D72AE" w:rsidP="005D72AE">
      <w:pPr>
        <w:pStyle w:val="ListBullet"/>
        <w:numPr>
          <w:ilvl w:val="0"/>
          <w:numId w:val="1"/>
        </w:numPr>
        <w:spacing w:before="0" w:after="180"/>
        <w:rPr>
          <w:lang w:val="en-US"/>
        </w:rPr>
      </w:pPr>
      <w:r w:rsidRPr="00844A25">
        <w:rPr>
          <w:lang w:val="en-US"/>
        </w:rPr>
        <w:t xml:space="preserve">AASB 16 </w:t>
      </w:r>
      <w:r w:rsidRPr="00844A25">
        <w:rPr>
          <w:i/>
          <w:iCs/>
          <w:lang w:val="en-US"/>
        </w:rPr>
        <w:t>Leases</w:t>
      </w:r>
    </w:p>
    <w:p w14:paraId="48044983" w14:textId="77777777" w:rsidR="005D72AE" w:rsidRPr="00844A25" w:rsidRDefault="005D72AE" w:rsidP="005D72AE">
      <w:pPr>
        <w:pStyle w:val="ListBullet"/>
        <w:numPr>
          <w:ilvl w:val="0"/>
          <w:numId w:val="1"/>
        </w:numPr>
        <w:spacing w:before="0" w:after="180"/>
        <w:rPr>
          <w:lang w:val="en-US"/>
        </w:rPr>
      </w:pPr>
      <w:r w:rsidRPr="00844A25">
        <w:rPr>
          <w:lang w:val="en-US"/>
        </w:rPr>
        <w:t xml:space="preserve">AASB 15 </w:t>
      </w:r>
      <w:r w:rsidRPr="00844A25">
        <w:rPr>
          <w:i/>
          <w:iCs/>
          <w:lang w:val="en-US"/>
        </w:rPr>
        <w:t>Revenue from Contracts with Customers; and</w:t>
      </w:r>
    </w:p>
    <w:p w14:paraId="6785146F" w14:textId="77777777" w:rsidR="005D72AE" w:rsidRPr="00844A25" w:rsidRDefault="005D72AE" w:rsidP="005D72AE">
      <w:pPr>
        <w:pStyle w:val="ListBullet"/>
        <w:numPr>
          <w:ilvl w:val="0"/>
          <w:numId w:val="1"/>
        </w:numPr>
        <w:spacing w:before="0" w:after="180"/>
        <w:rPr>
          <w:lang w:val="en-US"/>
        </w:rPr>
      </w:pPr>
      <w:r w:rsidRPr="00844A25">
        <w:rPr>
          <w:lang w:val="en-US"/>
        </w:rPr>
        <w:t>AASB 105</w:t>
      </w:r>
      <w:r w:rsidRPr="00844A25">
        <w:rPr>
          <w:i/>
          <w:iCs/>
          <w:lang w:val="en-US"/>
        </w:rPr>
        <w:t>8 Income of Not-for-Profit Entities</w:t>
      </w:r>
      <w:r w:rsidRPr="00844A25">
        <w:rPr>
          <w:lang w:val="en-US"/>
        </w:rPr>
        <w:t>.</w:t>
      </w:r>
    </w:p>
    <w:p w14:paraId="776DCB1A" w14:textId="77777777" w:rsidR="005D72AE" w:rsidRPr="00844A25" w:rsidRDefault="005D72AE" w:rsidP="005D72AE">
      <w:pPr>
        <w:rPr>
          <w:lang w:val="en-US"/>
        </w:rPr>
      </w:pPr>
      <w:r w:rsidRPr="00844A25">
        <w:rPr>
          <w:lang w:val="en-US"/>
        </w:rPr>
        <w:t>Impact on the balance sheet due to the adoption of AASB 16, AASB 15 and AASB 1058 is illustrated with</w:t>
      </w:r>
      <w:r>
        <w:rPr>
          <w:lang w:val="en-US"/>
        </w:rPr>
        <w:t xml:space="preserve"> </w:t>
      </w:r>
      <w:r w:rsidRPr="00844A25">
        <w:rPr>
          <w:lang w:val="en-US"/>
        </w:rPr>
        <w:t>the following reconciliation between the restated carrying amounts at 30 June 2019 and the balances reported under the new accounting standards at 1 July 2019:</w:t>
      </w:r>
    </w:p>
    <w:tbl>
      <w:tblPr>
        <w:tblStyle w:val="PlainTable2"/>
        <w:tblW w:w="9214" w:type="dxa"/>
        <w:tblInd w:w="-5" w:type="dxa"/>
        <w:tblLayout w:type="fixed"/>
        <w:tblLook w:val="0020" w:firstRow="1" w:lastRow="0" w:firstColumn="0" w:lastColumn="0" w:noHBand="0" w:noVBand="0"/>
      </w:tblPr>
      <w:tblGrid>
        <w:gridCol w:w="2382"/>
        <w:gridCol w:w="1020"/>
        <w:gridCol w:w="1937"/>
        <w:gridCol w:w="1937"/>
        <w:gridCol w:w="1938"/>
      </w:tblGrid>
      <w:tr w:rsidR="005D72AE" w:rsidRPr="00844A25" w14:paraId="6DC91D52" w14:textId="77777777" w:rsidTr="00FA2A1A">
        <w:trPr>
          <w:cnfStyle w:val="100000000000" w:firstRow="1" w:lastRow="0" w:firstColumn="0" w:lastColumn="0" w:oddVBand="0" w:evenVBand="0" w:oddHBand="0" w:evenHBand="0" w:firstRowFirstColumn="0" w:firstRowLastColumn="0" w:lastRowFirstColumn="0" w:lastRowLastColumn="0"/>
          <w:trHeight w:val="730"/>
        </w:trPr>
        <w:tc>
          <w:tcPr>
            <w:cnfStyle w:val="000010000000" w:firstRow="0" w:lastRow="0" w:firstColumn="0" w:lastColumn="0" w:oddVBand="1" w:evenVBand="0" w:oddHBand="0" w:evenHBand="0" w:firstRowFirstColumn="0" w:firstRowLastColumn="0" w:lastRowFirstColumn="0" w:lastRowLastColumn="0"/>
            <w:tcW w:w="2382" w:type="dxa"/>
          </w:tcPr>
          <w:p w14:paraId="4A158A0C" w14:textId="77777777" w:rsidR="005D72AE" w:rsidRPr="00844A25" w:rsidRDefault="005D72AE" w:rsidP="00FA2A1A">
            <w:pPr>
              <w:rPr>
                <w:b w:val="0"/>
                <w:bCs w:val="0"/>
                <w:lang w:val="en-GB"/>
              </w:rPr>
            </w:pPr>
          </w:p>
        </w:tc>
        <w:tc>
          <w:tcPr>
            <w:cnfStyle w:val="000001000000" w:firstRow="0" w:lastRow="0" w:firstColumn="0" w:lastColumn="0" w:oddVBand="0" w:evenVBand="1" w:oddHBand="0" w:evenHBand="0" w:firstRowFirstColumn="0" w:firstRowLastColumn="0" w:lastRowFirstColumn="0" w:lastRowLastColumn="0"/>
            <w:tcW w:w="1020" w:type="dxa"/>
          </w:tcPr>
          <w:p w14:paraId="375DD3E3" w14:textId="77777777" w:rsidR="005D72AE" w:rsidRPr="00844A25" w:rsidRDefault="005D72AE" w:rsidP="00FA2A1A">
            <w:pPr>
              <w:rPr>
                <w:b w:val="0"/>
                <w:bCs w:val="0"/>
                <w:lang w:val="en-GB"/>
              </w:rPr>
            </w:pPr>
          </w:p>
        </w:tc>
        <w:tc>
          <w:tcPr>
            <w:cnfStyle w:val="000010000000" w:firstRow="0" w:lastRow="0" w:firstColumn="0" w:lastColumn="0" w:oddVBand="1" w:evenVBand="0" w:oddHBand="0" w:evenHBand="0" w:firstRowFirstColumn="0" w:firstRowLastColumn="0" w:lastRowFirstColumn="0" w:lastRowLastColumn="0"/>
            <w:tcW w:w="1937" w:type="dxa"/>
          </w:tcPr>
          <w:p w14:paraId="25968A07" w14:textId="77777777" w:rsidR="005D72AE" w:rsidRPr="00844A25" w:rsidRDefault="005D72AE" w:rsidP="00FA2A1A">
            <w:pPr>
              <w:rPr>
                <w:b w:val="0"/>
                <w:bCs w:val="0"/>
                <w:lang w:val="en-US"/>
              </w:rPr>
            </w:pPr>
            <w:r w:rsidRPr="00844A25">
              <w:rPr>
                <w:lang w:val="en-US"/>
              </w:rPr>
              <w:t>Before new</w:t>
            </w:r>
            <w:r w:rsidRPr="00742C64">
              <w:rPr>
                <w:lang w:val="en-US"/>
              </w:rPr>
              <w:t xml:space="preserve"> </w:t>
            </w:r>
            <w:r w:rsidRPr="00844A25">
              <w:rPr>
                <w:lang w:val="en-US"/>
              </w:rPr>
              <w:t>accounting standards</w:t>
            </w:r>
          </w:p>
          <w:p w14:paraId="1B39EADD" w14:textId="77777777" w:rsidR="005D72AE" w:rsidRPr="00844A25" w:rsidRDefault="005D72AE" w:rsidP="00FA2A1A">
            <w:pPr>
              <w:rPr>
                <w:b w:val="0"/>
                <w:bCs w:val="0"/>
                <w:lang w:val="en-US"/>
              </w:rPr>
            </w:pPr>
            <w:r w:rsidRPr="00844A25">
              <w:rPr>
                <w:lang w:val="en-US"/>
              </w:rPr>
              <w:t>Opening 1 July 2019</w:t>
            </w:r>
          </w:p>
        </w:tc>
        <w:tc>
          <w:tcPr>
            <w:cnfStyle w:val="000001000000" w:firstRow="0" w:lastRow="0" w:firstColumn="0" w:lastColumn="0" w:oddVBand="0" w:evenVBand="1" w:oddHBand="0" w:evenHBand="0" w:firstRowFirstColumn="0" w:firstRowLastColumn="0" w:lastRowFirstColumn="0" w:lastRowLastColumn="0"/>
            <w:tcW w:w="1937" w:type="dxa"/>
          </w:tcPr>
          <w:p w14:paraId="17F3DC3B" w14:textId="77777777" w:rsidR="005D72AE" w:rsidRPr="00844A25" w:rsidRDefault="005D72AE" w:rsidP="00FA2A1A">
            <w:pPr>
              <w:rPr>
                <w:b w:val="0"/>
                <w:bCs w:val="0"/>
                <w:lang w:val="en-US"/>
              </w:rPr>
            </w:pPr>
            <w:r w:rsidRPr="00844A25">
              <w:rPr>
                <w:lang w:val="en-US"/>
              </w:rPr>
              <w:t>Impact of new accounting standards</w:t>
            </w:r>
            <w:r w:rsidRPr="00742C64">
              <w:rPr>
                <w:lang w:val="en-US"/>
              </w:rPr>
              <w:t xml:space="preserve"> </w:t>
            </w:r>
            <w:r w:rsidRPr="00844A25">
              <w:rPr>
                <w:lang w:val="en-US"/>
              </w:rPr>
              <w:t>- AASB 16</w:t>
            </w:r>
          </w:p>
        </w:tc>
        <w:tc>
          <w:tcPr>
            <w:cnfStyle w:val="000010000000" w:firstRow="0" w:lastRow="0" w:firstColumn="0" w:lastColumn="0" w:oddVBand="1" w:evenVBand="0" w:oddHBand="0" w:evenHBand="0" w:firstRowFirstColumn="0" w:firstRowLastColumn="0" w:lastRowFirstColumn="0" w:lastRowLastColumn="0"/>
            <w:tcW w:w="1938" w:type="dxa"/>
          </w:tcPr>
          <w:p w14:paraId="015482E7" w14:textId="77777777" w:rsidR="005D72AE" w:rsidRPr="00844A25" w:rsidRDefault="005D72AE" w:rsidP="00FA2A1A">
            <w:pPr>
              <w:rPr>
                <w:b w:val="0"/>
                <w:bCs w:val="0"/>
                <w:lang w:val="en-US"/>
              </w:rPr>
            </w:pPr>
            <w:r w:rsidRPr="00844A25">
              <w:rPr>
                <w:lang w:val="en-US"/>
              </w:rPr>
              <w:t>After new</w:t>
            </w:r>
            <w:r w:rsidRPr="00742C64">
              <w:rPr>
                <w:lang w:val="en-US"/>
              </w:rPr>
              <w:t xml:space="preserve"> </w:t>
            </w:r>
            <w:r w:rsidRPr="00844A25">
              <w:rPr>
                <w:lang w:val="en-US"/>
              </w:rPr>
              <w:t>accounting standards</w:t>
            </w:r>
          </w:p>
          <w:p w14:paraId="222E85A0" w14:textId="77777777" w:rsidR="005D72AE" w:rsidRPr="00844A25" w:rsidRDefault="005D72AE" w:rsidP="00FA2A1A">
            <w:pPr>
              <w:rPr>
                <w:b w:val="0"/>
                <w:bCs w:val="0"/>
                <w:lang w:val="en-US"/>
              </w:rPr>
            </w:pPr>
            <w:r w:rsidRPr="00844A25">
              <w:rPr>
                <w:lang w:val="en-US"/>
              </w:rPr>
              <w:t>Opening 1 July 2019</w:t>
            </w:r>
          </w:p>
        </w:tc>
      </w:tr>
      <w:tr w:rsidR="005D72AE" w:rsidRPr="00844A25" w14:paraId="40A2C6BC" w14:textId="77777777" w:rsidTr="00FA2A1A">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2382" w:type="dxa"/>
          </w:tcPr>
          <w:p w14:paraId="5776C218" w14:textId="77777777" w:rsidR="005D72AE" w:rsidRPr="002263E2" w:rsidRDefault="005D72AE" w:rsidP="00FA2A1A">
            <w:pPr>
              <w:rPr>
                <w:b/>
                <w:bCs/>
                <w:lang w:val="en-US"/>
              </w:rPr>
            </w:pPr>
            <w:r w:rsidRPr="002263E2">
              <w:rPr>
                <w:b/>
                <w:bCs/>
                <w:lang w:val="en-US"/>
              </w:rPr>
              <w:t>Balance Sheet</w:t>
            </w:r>
          </w:p>
        </w:tc>
        <w:tc>
          <w:tcPr>
            <w:cnfStyle w:val="000001000000" w:firstRow="0" w:lastRow="0" w:firstColumn="0" w:lastColumn="0" w:oddVBand="0" w:evenVBand="1" w:oddHBand="0" w:evenHBand="0" w:firstRowFirstColumn="0" w:firstRowLastColumn="0" w:lastRowFirstColumn="0" w:lastRowLastColumn="0"/>
            <w:tcW w:w="1020" w:type="dxa"/>
          </w:tcPr>
          <w:p w14:paraId="0200F926" w14:textId="77777777" w:rsidR="005D72AE" w:rsidRPr="002263E2" w:rsidRDefault="005D72AE" w:rsidP="00FA2A1A">
            <w:pPr>
              <w:rPr>
                <w:b/>
                <w:bCs/>
                <w:lang w:val="en-US"/>
              </w:rPr>
            </w:pPr>
            <w:r w:rsidRPr="002263E2">
              <w:rPr>
                <w:b/>
                <w:bCs/>
                <w:lang w:val="en-US"/>
              </w:rPr>
              <w:t>Notes</w:t>
            </w:r>
          </w:p>
        </w:tc>
        <w:tc>
          <w:tcPr>
            <w:cnfStyle w:val="000010000000" w:firstRow="0" w:lastRow="0" w:firstColumn="0" w:lastColumn="0" w:oddVBand="1" w:evenVBand="0" w:oddHBand="0" w:evenHBand="0" w:firstRowFirstColumn="0" w:firstRowLastColumn="0" w:lastRowFirstColumn="0" w:lastRowLastColumn="0"/>
            <w:tcW w:w="1937" w:type="dxa"/>
          </w:tcPr>
          <w:p w14:paraId="7A62E5E4" w14:textId="77777777" w:rsidR="005D72AE" w:rsidRPr="002263E2" w:rsidRDefault="005D72AE" w:rsidP="00FA2A1A">
            <w:pPr>
              <w:rPr>
                <w:b/>
                <w:bCs/>
                <w:lang w:val="en-US"/>
              </w:rPr>
            </w:pPr>
            <w:r w:rsidRPr="002263E2">
              <w:rPr>
                <w:b/>
                <w:bCs/>
                <w:lang w:val="en-US"/>
              </w:rPr>
              <w:t>$’000</w:t>
            </w:r>
          </w:p>
        </w:tc>
        <w:tc>
          <w:tcPr>
            <w:cnfStyle w:val="000001000000" w:firstRow="0" w:lastRow="0" w:firstColumn="0" w:lastColumn="0" w:oddVBand="0" w:evenVBand="1" w:oddHBand="0" w:evenHBand="0" w:firstRowFirstColumn="0" w:firstRowLastColumn="0" w:lastRowFirstColumn="0" w:lastRowLastColumn="0"/>
            <w:tcW w:w="1937" w:type="dxa"/>
          </w:tcPr>
          <w:p w14:paraId="3F1A59C9" w14:textId="77777777" w:rsidR="005D72AE" w:rsidRPr="002263E2" w:rsidRDefault="005D72AE" w:rsidP="00FA2A1A">
            <w:pPr>
              <w:rPr>
                <w:b/>
                <w:bCs/>
                <w:lang w:val="en-US"/>
              </w:rPr>
            </w:pPr>
            <w:r w:rsidRPr="002263E2">
              <w:rPr>
                <w:b/>
                <w:bCs/>
                <w:lang w:val="en-US"/>
              </w:rPr>
              <w:t>$’000</w:t>
            </w:r>
          </w:p>
        </w:tc>
        <w:tc>
          <w:tcPr>
            <w:cnfStyle w:val="000010000000" w:firstRow="0" w:lastRow="0" w:firstColumn="0" w:lastColumn="0" w:oddVBand="1" w:evenVBand="0" w:oddHBand="0" w:evenHBand="0" w:firstRowFirstColumn="0" w:firstRowLastColumn="0" w:lastRowFirstColumn="0" w:lastRowLastColumn="0"/>
            <w:tcW w:w="1938" w:type="dxa"/>
          </w:tcPr>
          <w:p w14:paraId="70F34B75" w14:textId="77777777" w:rsidR="005D72AE" w:rsidRPr="002263E2" w:rsidRDefault="005D72AE" w:rsidP="00FA2A1A">
            <w:pPr>
              <w:rPr>
                <w:b/>
                <w:bCs/>
                <w:lang w:val="en-US"/>
              </w:rPr>
            </w:pPr>
            <w:r w:rsidRPr="002263E2">
              <w:rPr>
                <w:b/>
                <w:bCs/>
                <w:lang w:val="en-US"/>
              </w:rPr>
              <w:t>$’000</w:t>
            </w:r>
          </w:p>
        </w:tc>
      </w:tr>
      <w:tr w:rsidR="005D72AE" w:rsidRPr="00844A25" w14:paraId="0BC35CBB" w14:textId="77777777" w:rsidTr="00FA2A1A">
        <w:trPr>
          <w:trHeight w:val="276"/>
        </w:trPr>
        <w:tc>
          <w:tcPr>
            <w:cnfStyle w:val="000010000000" w:firstRow="0" w:lastRow="0" w:firstColumn="0" w:lastColumn="0" w:oddVBand="1" w:evenVBand="0" w:oddHBand="0" w:evenHBand="0" w:firstRowFirstColumn="0" w:firstRowLastColumn="0" w:lastRowFirstColumn="0" w:lastRowLastColumn="0"/>
            <w:tcW w:w="2382" w:type="dxa"/>
          </w:tcPr>
          <w:p w14:paraId="3FAEDE42" w14:textId="77777777" w:rsidR="005D72AE" w:rsidRPr="00844A25" w:rsidRDefault="005D72AE" w:rsidP="00FA2A1A">
            <w:pPr>
              <w:rPr>
                <w:lang w:val="en-US"/>
              </w:rPr>
            </w:pPr>
            <w:r w:rsidRPr="00844A25">
              <w:rPr>
                <w:lang w:val="en-US"/>
              </w:rPr>
              <w:t xml:space="preserve">Total financial </w:t>
            </w:r>
            <w:r w:rsidRPr="00844A25">
              <w:rPr>
                <w:lang w:val="en-US"/>
              </w:rPr>
              <w:lastRenderedPageBreak/>
              <w:t>assets</w:t>
            </w:r>
          </w:p>
        </w:tc>
        <w:tc>
          <w:tcPr>
            <w:cnfStyle w:val="000001000000" w:firstRow="0" w:lastRow="0" w:firstColumn="0" w:lastColumn="0" w:oddVBand="0" w:evenVBand="1" w:oddHBand="0" w:evenHBand="0" w:firstRowFirstColumn="0" w:firstRowLastColumn="0" w:lastRowFirstColumn="0" w:lastRowLastColumn="0"/>
            <w:tcW w:w="1020" w:type="dxa"/>
          </w:tcPr>
          <w:p w14:paraId="32915A27"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937" w:type="dxa"/>
          </w:tcPr>
          <w:p w14:paraId="0D3C4B49" w14:textId="77777777" w:rsidR="005D72AE" w:rsidRPr="00844A25" w:rsidRDefault="005D72AE" w:rsidP="00FA2A1A">
            <w:pPr>
              <w:rPr>
                <w:lang w:val="en-US"/>
              </w:rPr>
            </w:pPr>
            <w:r w:rsidRPr="00844A25">
              <w:rPr>
                <w:lang w:val="en-US"/>
              </w:rPr>
              <w:t>18,484,210</w:t>
            </w:r>
          </w:p>
        </w:tc>
        <w:tc>
          <w:tcPr>
            <w:cnfStyle w:val="000001000000" w:firstRow="0" w:lastRow="0" w:firstColumn="0" w:lastColumn="0" w:oddVBand="0" w:evenVBand="1" w:oddHBand="0" w:evenHBand="0" w:firstRowFirstColumn="0" w:firstRowLastColumn="0" w:lastRowFirstColumn="0" w:lastRowLastColumn="0"/>
            <w:tcW w:w="1937" w:type="dxa"/>
          </w:tcPr>
          <w:p w14:paraId="5D20DD13"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938" w:type="dxa"/>
          </w:tcPr>
          <w:p w14:paraId="50CE0C86" w14:textId="77777777" w:rsidR="005D72AE" w:rsidRPr="00844A25" w:rsidRDefault="005D72AE" w:rsidP="00FA2A1A">
            <w:pPr>
              <w:rPr>
                <w:lang w:val="en-US"/>
              </w:rPr>
            </w:pPr>
            <w:r w:rsidRPr="00844A25">
              <w:rPr>
                <w:lang w:val="en-US"/>
              </w:rPr>
              <w:t>18,484,210</w:t>
            </w:r>
          </w:p>
        </w:tc>
      </w:tr>
      <w:tr w:rsidR="005D72AE" w:rsidRPr="00844A25" w14:paraId="06428483" w14:textId="77777777" w:rsidTr="00FA2A1A">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2382" w:type="dxa"/>
          </w:tcPr>
          <w:p w14:paraId="60C9228F" w14:textId="77777777" w:rsidR="005D72AE" w:rsidRPr="00844A25" w:rsidRDefault="005D72AE" w:rsidP="00FA2A1A">
            <w:pPr>
              <w:rPr>
                <w:lang w:val="en-US"/>
              </w:rPr>
            </w:pPr>
            <w:r w:rsidRPr="00844A25">
              <w:rPr>
                <w:lang w:val="en-US"/>
              </w:rPr>
              <w:t xml:space="preserve">Total non-financial assets </w:t>
            </w:r>
            <w:r w:rsidRPr="00844A25">
              <w:rPr>
                <w:vertAlign w:val="superscript"/>
                <w:lang w:val="en-US"/>
              </w:rPr>
              <w:t>(a)</w:t>
            </w:r>
          </w:p>
        </w:tc>
        <w:tc>
          <w:tcPr>
            <w:cnfStyle w:val="000001000000" w:firstRow="0" w:lastRow="0" w:firstColumn="0" w:lastColumn="0" w:oddVBand="0" w:evenVBand="1" w:oddHBand="0" w:evenHBand="0" w:firstRowFirstColumn="0" w:firstRowLastColumn="0" w:lastRowFirstColumn="0" w:lastRowLastColumn="0"/>
            <w:tcW w:w="1020" w:type="dxa"/>
          </w:tcPr>
          <w:p w14:paraId="1F3FC3BC" w14:textId="77777777" w:rsidR="005D72AE" w:rsidRPr="00844A25" w:rsidRDefault="005D72AE" w:rsidP="00FA2A1A">
            <w:pPr>
              <w:rPr>
                <w:lang w:val="en-US"/>
              </w:rPr>
            </w:pPr>
            <w:r w:rsidRPr="00844A25">
              <w:rPr>
                <w:lang w:val="en-US"/>
              </w:rPr>
              <w:t>9.2.1</w:t>
            </w:r>
          </w:p>
        </w:tc>
        <w:tc>
          <w:tcPr>
            <w:cnfStyle w:val="000010000000" w:firstRow="0" w:lastRow="0" w:firstColumn="0" w:lastColumn="0" w:oddVBand="1" w:evenVBand="0" w:oddHBand="0" w:evenHBand="0" w:firstRowFirstColumn="0" w:firstRowLastColumn="0" w:lastRowFirstColumn="0" w:lastRowLastColumn="0"/>
            <w:tcW w:w="1937" w:type="dxa"/>
          </w:tcPr>
          <w:p w14:paraId="6C44B978" w14:textId="77777777" w:rsidR="005D72AE" w:rsidRPr="00844A25" w:rsidRDefault="005D72AE" w:rsidP="00FA2A1A">
            <w:pPr>
              <w:rPr>
                <w:lang w:val="en-US"/>
              </w:rPr>
            </w:pPr>
            <w:r w:rsidRPr="00844A25">
              <w:rPr>
                <w:lang w:val="en-US"/>
              </w:rPr>
              <w:t>727,352</w:t>
            </w:r>
          </w:p>
        </w:tc>
        <w:tc>
          <w:tcPr>
            <w:cnfStyle w:val="000001000000" w:firstRow="0" w:lastRow="0" w:firstColumn="0" w:lastColumn="0" w:oddVBand="0" w:evenVBand="1" w:oddHBand="0" w:evenHBand="0" w:firstRowFirstColumn="0" w:firstRowLastColumn="0" w:lastRowFirstColumn="0" w:lastRowLastColumn="0"/>
            <w:tcW w:w="1937" w:type="dxa"/>
          </w:tcPr>
          <w:p w14:paraId="238C16F3" w14:textId="77777777" w:rsidR="005D72AE" w:rsidRPr="00844A25" w:rsidRDefault="005D72AE" w:rsidP="00FA2A1A">
            <w:pPr>
              <w:rPr>
                <w:lang w:val="en-US"/>
              </w:rPr>
            </w:pPr>
            <w:r w:rsidRPr="00844A25">
              <w:rPr>
                <w:lang w:val="en-US"/>
              </w:rPr>
              <w:t>4,834,480</w:t>
            </w:r>
          </w:p>
        </w:tc>
        <w:tc>
          <w:tcPr>
            <w:cnfStyle w:val="000010000000" w:firstRow="0" w:lastRow="0" w:firstColumn="0" w:lastColumn="0" w:oddVBand="1" w:evenVBand="0" w:oddHBand="0" w:evenHBand="0" w:firstRowFirstColumn="0" w:firstRowLastColumn="0" w:lastRowFirstColumn="0" w:lastRowLastColumn="0"/>
            <w:tcW w:w="1938" w:type="dxa"/>
          </w:tcPr>
          <w:p w14:paraId="5059208C" w14:textId="77777777" w:rsidR="005D72AE" w:rsidRPr="00844A25" w:rsidRDefault="005D72AE" w:rsidP="00FA2A1A">
            <w:pPr>
              <w:rPr>
                <w:lang w:val="en-US"/>
              </w:rPr>
            </w:pPr>
            <w:r w:rsidRPr="00844A25">
              <w:rPr>
                <w:lang w:val="en-US"/>
              </w:rPr>
              <w:t>5,561,832</w:t>
            </w:r>
          </w:p>
        </w:tc>
      </w:tr>
      <w:tr w:rsidR="005D72AE" w:rsidRPr="00844A25" w14:paraId="7E3B3E50" w14:textId="77777777" w:rsidTr="00FA2A1A">
        <w:trPr>
          <w:trHeight w:val="276"/>
        </w:trPr>
        <w:tc>
          <w:tcPr>
            <w:cnfStyle w:val="000010000000" w:firstRow="0" w:lastRow="0" w:firstColumn="0" w:lastColumn="0" w:oddVBand="1" w:evenVBand="0" w:oddHBand="0" w:evenHBand="0" w:firstRowFirstColumn="0" w:firstRowLastColumn="0" w:lastRowFirstColumn="0" w:lastRowLastColumn="0"/>
            <w:tcW w:w="2382" w:type="dxa"/>
          </w:tcPr>
          <w:p w14:paraId="40E24D69" w14:textId="77777777" w:rsidR="005D72AE" w:rsidRPr="002263E2" w:rsidRDefault="005D72AE" w:rsidP="00FA2A1A">
            <w:pPr>
              <w:rPr>
                <w:b/>
                <w:bCs/>
                <w:lang w:val="en-US"/>
              </w:rPr>
            </w:pPr>
            <w:r w:rsidRPr="002263E2">
              <w:rPr>
                <w:b/>
                <w:bCs/>
                <w:lang w:val="en-US"/>
              </w:rPr>
              <w:t>Total assets</w:t>
            </w:r>
          </w:p>
        </w:tc>
        <w:tc>
          <w:tcPr>
            <w:cnfStyle w:val="000001000000" w:firstRow="0" w:lastRow="0" w:firstColumn="0" w:lastColumn="0" w:oddVBand="0" w:evenVBand="1" w:oddHBand="0" w:evenHBand="0" w:firstRowFirstColumn="0" w:firstRowLastColumn="0" w:lastRowFirstColumn="0" w:lastRowLastColumn="0"/>
            <w:tcW w:w="1020" w:type="dxa"/>
          </w:tcPr>
          <w:p w14:paraId="44C09B59" w14:textId="77777777" w:rsidR="005D72AE" w:rsidRPr="002263E2"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1937" w:type="dxa"/>
          </w:tcPr>
          <w:p w14:paraId="2C1475E2" w14:textId="77777777" w:rsidR="005D72AE" w:rsidRPr="002263E2" w:rsidRDefault="005D72AE" w:rsidP="00FA2A1A">
            <w:pPr>
              <w:rPr>
                <w:b/>
                <w:bCs/>
                <w:lang w:val="en-US"/>
              </w:rPr>
            </w:pPr>
            <w:r w:rsidRPr="002263E2">
              <w:rPr>
                <w:b/>
                <w:bCs/>
                <w:lang w:val="en-US"/>
              </w:rPr>
              <w:t>19,211,562</w:t>
            </w:r>
          </w:p>
        </w:tc>
        <w:tc>
          <w:tcPr>
            <w:cnfStyle w:val="000001000000" w:firstRow="0" w:lastRow="0" w:firstColumn="0" w:lastColumn="0" w:oddVBand="0" w:evenVBand="1" w:oddHBand="0" w:evenHBand="0" w:firstRowFirstColumn="0" w:firstRowLastColumn="0" w:lastRowFirstColumn="0" w:lastRowLastColumn="0"/>
            <w:tcW w:w="1937" w:type="dxa"/>
          </w:tcPr>
          <w:p w14:paraId="27FB1CB2" w14:textId="77777777" w:rsidR="005D72AE" w:rsidRPr="002263E2" w:rsidRDefault="005D72AE" w:rsidP="00FA2A1A">
            <w:pPr>
              <w:rPr>
                <w:b/>
                <w:bCs/>
                <w:lang w:val="en-US"/>
              </w:rPr>
            </w:pPr>
            <w:r w:rsidRPr="002263E2">
              <w:rPr>
                <w:b/>
                <w:bCs/>
                <w:lang w:val="en-US"/>
              </w:rPr>
              <w:t>4,834,480</w:t>
            </w:r>
          </w:p>
        </w:tc>
        <w:tc>
          <w:tcPr>
            <w:cnfStyle w:val="000010000000" w:firstRow="0" w:lastRow="0" w:firstColumn="0" w:lastColumn="0" w:oddVBand="1" w:evenVBand="0" w:oddHBand="0" w:evenHBand="0" w:firstRowFirstColumn="0" w:firstRowLastColumn="0" w:lastRowFirstColumn="0" w:lastRowLastColumn="0"/>
            <w:tcW w:w="1938" w:type="dxa"/>
          </w:tcPr>
          <w:p w14:paraId="678897FA" w14:textId="77777777" w:rsidR="005D72AE" w:rsidRPr="002263E2" w:rsidRDefault="005D72AE" w:rsidP="00FA2A1A">
            <w:pPr>
              <w:rPr>
                <w:b/>
                <w:bCs/>
                <w:lang w:val="en-US"/>
              </w:rPr>
            </w:pPr>
            <w:r w:rsidRPr="002263E2">
              <w:rPr>
                <w:b/>
                <w:bCs/>
                <w:lang w:val="en-US"/>
              </w:rPr>
              <w:t>24,046,042</w:t>
            </w:r>
          </w:p>
        </w:tc>
      </w:tr>
      <w:tr w:rsidR="005D72AE" w:rsidRPr="00844A25" w14:paraId="2BB05994" w14:textId="77777777" w:rsidTr="00FA2A1A">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2382" w:type="dxa"/>
          </w:tcPr>
          <w:p w14:paraId="41D283DD" w14:textId="77777777" w:rsidR="005D72AE" w:rsidRPr="00844A25" w:rsidRDefault="005D72AE" w:rsidP="00FA2A1A">
            <w:pPr>
              <w:rPr>
                <w:lang w:val="en-US"/>
              </w:rPr>
            </w:pPr>
            <w:r w:rsidRPr="00844A25">
              <w:rPr>
                <w:lang w:val="en-US"/>
              </w:rPr>
              <w:t>Payables</w:t>
            </w:r>
          </w:p>
        </w:tc>
        <w:tc>
          <w:tcPr>
            <w:cnfStyle w:val="000001000000" w:firstRow="0" w:lastRow="0" w:firstColumn="0" w:lastColumn="0" w:oddVBand="0" w:evenVBand="1" w:oddHBand="0" w:evenHBand="0" w:firstRowFirstColumn="0" w:firstRowLastColumn="0" w:lastRowFirstColumn="0" w:lastRowLastColumn="0"/>
            <w:tcW w:w="1020" w:type="dxa"/>
          </w:tcPr>
          <w:p w14:paraId="4419986A"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937" w:type="dxa"/>
          </w:tcPr>
          <w:p w14:paraId="24F90043" w14:textId="77777777" w:rsidR="005D72AE" w:rsidRPr="00844A25" w:rsidRDefault="005D72AE" w:rsidP="00FA2A1A">
            <w:pPr>
              <w:rPr>
                <w:lang w:val="en-US"/>
              </w:rPr>
            </w:pPr>
            <w:r w:rsidRPr="00844A25">
              <w:rPr>
                <w:lang w:val="en-US"/>
              </w:rPr>
              <w:t>1,864,051</w:t>
            </w:r>
          </w:p>
        </w:tc>
        <w:tc>
          <w:tcPr>
            <w:cnfStyle w:val="000001000000" w:firstRow="0" w:lastRow="0" w:firstColumn="0" w:lastColumn="0" w:oddVBand="0" w:evenVBand="1" w:oddHBand="0" w:evenHBand="0" w:firstRowFirstColumn="0" w:firstRowLastColumn="0" w:lastRowFirstColumn="0" w:lastRowLastColumn="0"/>
            <w:tcW w:w="1937" w:type="dxa"/>
          </w:tcPr>
          <w:p w14:paraId="7F8BD770"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938" w:type="dxa"/>
          </w:tcPr>
          <w:p w14:paraId="32D4E05F" w14:textId="77777777" w:rsidR="005D72AE" w:rsidRPr="00844A25" w:rsidRDefault="005D72AE" w:rsidP="00FA2A1A">
            <w:pPr>
              <w:rPr>
                <w:lang w:val="en-US"/>
              </w:rPr>
            </w:pPr>
            <w:r w:rsidRPr="00844A25">
              <w:rPr>
                <w:lang w:val="en-US"/>
              </w:rPr>
              <w:t>1,864,051</w:t>
            </w:r>
          </w:p>
        </w:tc>
      </w:tr>
      <w:tr w:rsidR="005D72AE" w:rsidRPr="00844A25" w14:paraId="65D97BB9" w14:textId="77777777" w:rsidTr="00FA2A1A">
        <w:trPr>
          <w:trHeight w:val="276"/>
        </w:trPr>
        <w:tc>
          <w:tcPr>
            <w:cnfStyle w:val="000010000000" w:firstRow="0" w:lastRow="0" w:firstColumn="0" w:lastColumn="0" w:oddVBand="1" w:evenVBand="0" w:oddHBand="0" w:evenHBand="0" w:firstRowFirstColumn="0" w:firstRowLastColumn="0" w:lastRowFirstColumn="0" w:lastRowLastColumn="0"/>
            <w:tcW w:w="2382" w:type="dxa"/>
          </w:tcPr>
          <w:p w14:paraId="27695E08" w14:textId="77777777" w:rsidR="005D72AE" w:rsidRPr="00844A25" w:rsidRDefault="005D72AE" w:rsidP="00FA2A1A">
            <w:pPr>
              <w:rPr>
                <w:lang w:val="en-US"/>
              </w:rPr>
            </w:pPr>
            <w:r w:rsidRPr="00844A25">
              <w:rPr>
                <w:lang w:val="en-US"/>
              </w:rPr>
              <w:t>Employee related provisions</w:t>
            </w:r>
          </w:p>
        </w:tc>
        <w:tc>
          <w:tcPr>
            <w:cnfStyle w:val="000001000000" w:firstRow="0" w:lastRow="0" w:firstColumn="0" w:lastColumn="0" w:oddVBand="0" w:evenVBand="1" w:oddHBand="0" w:evenHBand="0" w:firstRowFirstColumn="0" w:firstRowLastColumn="0" w:lastRowFirstColumn="0" w:lastRowLastColumn="0"/>
            <w:tcW w:w="1020" w:type="dxa"/>
          </w:tcPr>
          <w:p w14:paraId="10491587"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937" w:type="dxa"/>
          </w:tcPr>
          <w:p w14:paraId="5ECB8D7E" w14:textId="77777777" w:rsidR="005D72AE" w:rsidRPr="00844A25" w:rsidRDefault="005D72AE" w:rsidP="00FA2A1A">
            <w:pPr>
              <w:rPr>
                <w:lang w:val="en-US"/>
              </w:rPr>
            </w:pPr>
            <w:r w:rsidRPr="00844A25">
              <w:rPr>
                <w:lang w:val="en-US"/>
              </w:rPr>
              <w:t>3,367,217</w:t>
            </w:r>
          </w:p>
        </w:tc>
        <w:tc>
          <w:tcPr>
            <w:cnfStyle w:val="000001000000" w:firstRow="0" w:lastRow="0" w:firstColumn="0" w:lastColumn="0" w:oddVBand="0" w:evenVBand="1" w:oddHBand="0" w:evenHBand="0" w:firstRowFirstColumn="0" w:firstRowLastColumn="0" w:lastRowFirstColumn="0" w:lastRowLastColumn="0"/>
            <w:tcW w:w="1937" w:type="dxa"/>
          </w:tcPr>
          <w:p w14:paraId="4200167B"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938" w:type="dxa"/>
          </w:tcPr>
          <w:p w14:paraId="186B4241" w14:textId="77777777" w:rsidR="005D72AE" w:rsidRPr="00844A25" w:rsidRDefault="005D72AE" w:rsidP="00FA2A1A">
            <w:pPr>
              <w:rPr>
                <w:lang w:val="en-US"/>
              </w:rPr>
            </w:pPr>
            <w:r w:rsidRPr="00844A25">
              <w:rPr>
                <w:lang w:val="en-US"/>
              </w:rPr>
              <w:t>3,367,217</w:t>
            </w:r>
          </w:p>
        </w:tc>
      </w:tr>
      <w:tr w:rsidR="005D72AE" w:rsidRPr="00844A25" w14:paraId="7802CFC7" w14:textId="77777777" w:rsidTr="00FA2A1A">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2382" w:type="dxa"/>
          </w:tcPr>
          <w:p w14:paraId="636C4651" w14:textId="77777777" w:rsidR="005D72AE" w:rsidRPr="00844A25" w:rsidRDefault="005D72AE" w:rsidP="00FA2A1A">
            <w:pPr>
              <w:rPr>
                <w:lang w:val="en-US"/>
              </w:rPr>
            </w:pPr>
            <w:r w:rsidRPr="00844A25">
              <w:rPr>
                <w:lang w:val="en-US"/>
              </w:rPr>
              <w:t>Make good provision</w:t>
            </w:r>
          </w:p>
        </w:tc>
        <w:tc>
          <w:tcPr>
            <w:cnfStyle w:val="000001000000" w:firstRow="0" w:lastRow="0" w:firstColumn="0" w:lastColumn="0" w:oddVBand="0" w:evenVBand="1" w:oddHBand="0" w:evenHBand="0" w:firstRowFirstColumn="0" w:firstRowLastColumn="0" w:lastRowFirstColumn="0" w:lastRowLastColumn="0"/>
            <w:tcW w:w="1020" w:type="dxa"/>
          </w:tcPr>
          <w:p w14:paraId="4BD270A9"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937" w:type="dxa"/>
          </w:tcPr>
          <w:p w14:paraId="6338D810" w14:textId="77777777" w:rsidR="005D72AE" w:rsidRPr="00844A25" w:rsidRDefault="005D72AE" w:rsidP="00FA2A1A">
            <w:pPr>
              <w:rPr>
                <w:lang w:val="en-US"/>
              </w:rPr>
            </w:pPr>
            <w:r w:rsidRPr="00844A25">
              <w:rPr>
                <w:lang w:val="en-US"/>
              </w:rPr>
              <w:t>106,470</w:t>
            </w:r>
          </w:p>
        </w:tc>
        <w:tc>
          <w:tcPr>
            <w:cnfStyle w:val="000001000000" w:firstRow="0" w:lastRow="0" w:firstColumn="0" w:lastColumn="0" w:oddVBand="0" w:evenVBand="1" w:oddHBand="0" w:evenHBand="0" w:firstRowFirstColumn="0" w:firstRowLastColumn="0" w:lastRowFirstColumn="0" w:lastRowLastColumn="0"/>
            <w:tcW w:w="1937" w:type="dxa"/>
          </w:tcPr>
          <w:p w14:paraId="16C5C165"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938" w:type="dxa"/>
          </w:tcPr>
          <w:p w14:paraId="3B990287" w14:textId="77777777" w:rsidR="005D72AE" w:rsidRPr="00844A25" w:rsidRDefault="005D72AE" w:rsidP="00FA2A1A">
            <w:pPr>
              <w:rPr>
                <w:lang w:val="en-US"/>
              </w:rPr>
            </w:pPr>
            <w:r w:rsidRPr="00844A25">
              <w:rPr>
                <w:lang w:val="en-US"/>
              </w:rPr>
              <w:t>106,470</w:t>
            </w:r>
          </w:p>
        </w:tc>
      </w:tr>
      <w:tr w:rsidR="005D72AE" w:rsidRPr="00844A25" w14:paraId="11D58CE9" w14:textId="77777777" w:rsidTr="00FA2A1A">
        <w:trPr>
          <w:trHeight w:val="276"/>
        </w:trPr>
        <w:tc>
          <w:tcPr>
            <w:cnfStyle w:val="000010000000" w:firstRow="0" w:lastRow="0" w:firstColumn="0" w:lastColumn="0" w:oddVBand="1" w:evenVBand="0" w:oddHBand="0" w:evenHBand="0" w:firstRowFirstColumn="0" w:firstRowLastColumn="0" w:lastRowFirstColumn="0" w:lastRowLastColumn="0"/>
            <w:tcW w:w="2382" w:type="dxa"/>
          </w:tcPr>
          <w:p w14:paraId="1EEA0439" w14:textId="77777777" w:rsidR="005D72AE" w:rsidRPr="00844A25" w:rsidRDefault="005D72AE" w:rsidP="00FA2A1A">
            <w:pPr>
              <w:rPr>
                <w:lang w:val="en-US"/>
              </w:rPr>
            </w:pPr>
            <w:r w:rsidRPr="00844A25">
              <w:rPr>
                <w:lang w:val="en-US"/>
              </w:rPr>
              <w:t xml:space="preserve">Lease liabilities </w:t>
            </w:r>
            <w:r w:rsidRPr="00844A25">
              <w:rPr>
                <w:vertAlign w:val="superscript"/>
                <w:lang w:val="en-US"/>
              </w:rPr>
              <w:t>(a)</w:t>
            </w:r>
          </w:p>
        </w:tc>
        <w:tc>
          <w:tcPr>
            <w:cnfStyle w:val="000001000000" w:firstRow="0" w:lastRow="0" w:firstColumn="0" w:lastColumn="0" w:oddVBand="0" w:evenVBand="1" w:oddHBand="0" w:evenHBand="0" w:firstRowFirstColumn="0" w:firstRowLastColumn="0" w:lastRowFirstColumn="0" w:lastRowLastColumn="0"/>
            <w:tcW w:w="1020" w:type="dxa"/>
          </w:tcPr>
          <w:p w14:paraId="12B0CD29" w14:textId="77777777" w:rsidR="005D72AE" w:rsidRPr="00844A25" w:rsidRDefault="005D72AE" w:rsidP="00FA2A1A">
            <w:pPr>
              <w:rPr>
                <w:lang w:val="en-US"/>
              </w:rPr>
            </w:pPr>
            <w:r w:rsidRPr="00844A25">
              <w:rPr>
                <w:lang w:val="en-US"/>
              </w:rPr>
              <w:t>9.2.1</w:t>
            </w:r>
          </w:p>
        </w:tc>
        <w:tc>
          <w:tcPr>
            <w:cnfStyle w:val="000010000000" w:firstRow="0" w:lastRow="0" w:firstColumn="0" w:lastColumn="0" w:oddVBand="1" w:evenVBand="0" w:oddHBand="0" w:evenHBand="0" w:firstRowFirstColumn="0" w:firstRowLastColumn="0" w:lastRowFirstColumn="0" w:lastRowLastColumn="0"/>
            <w:tcW w:w="1937" w:type="dxa"/>
          </w:tcPr>
          <w:p w14:paraId="23BB5831" w14:textId="77777777" w:rsidR="005D72AE" w:rsidRPr="00844A25" w:rsidRDefault="005D72AE" w:rsidP="00FA2A1A">
            <w:pPr>
              <w:rPr>
                <w:lang w:val="en-US"/>
              </w:rPr>
            </w:pPr>
            <w:r w:rsidRPr="00844A25">
              <w:rPr>
                <w:lang w:val="en-US"/>
              </w:rPr>
              <w:t>42,995</w:t>
            </w:r>
          </w:p>
        </w:tc>
        <w:tc>
          <w:tcPr>
            <w:cnfStyle w:val="000001000000" w:firstRow="0" w:lastRow="0" w:firstColumn="0" w:lastColumn="0" w:oddVBand="0" w:evenVBand="1" w:oddHBand="0" w:evenHBand="0" w:firstRowFirstColumn="0" w:firstRowLastColumn="0" w:lastRowFirstColumn="0" w:lastRowLastColumn="0"/>
            <w:tcW w:w="1937" w:type="dxa"/>
          </w:tcPr>
          <w:p w14:paraId="65330F6A" w14:textId="77777777" w:rsidR="005D72AE" w:rsidRPr="00844A25" w:rsidRDefault="005D72AE" w:rsidP="00FA2A1A">
            <w:pPr>
              <w:rPr>
                <w:lang w:val="en-US"/>
              </w:rPr>
            </w:pPr>
            <w:r w:rsidRPr="00844A25">
              <w:rPr>
                <w:lang w:val="en-US"/>
              </w:rPr>
              <w:t>4,834,480</w:t>
            </w:r>
          </w:p>
        </w:tc>
        <w:tc>
          <w:tcPr>
            <w:cnfStyle w:val="000010000000" w:firstRow="0" w:lastRow="0" w:firstColumn="0" w:lastColumn="0" w:oddVBand="1" w:evenVBand="0" w:oddHBand="0" w:evenHBand="0" w:firstRowFirstColumn="0" w:firstRowLastColumn="0" w:lastRowFirstColumn="0" w:lastRowLastColumn="0"/>
            <w:tcW w:w="1938" w:type="dxa"/>
          </w:tcPr>
          <w:p w14:paraId="72E33783" w14:textId="77777777" w:rsidR="005D72AE" w:rsidRPr="00844A25" w:rsidRDefault="005D72AE" w:rsidP="00FA2A1A">
            <w:pPr>
              <w:rPr>
                <w:lang w:val="en-US"/>
              </w:rPr>
            </w:pPr>
            <w:r w:rsidRPr="00844A25">
              <w:rPr>
                <w:lang w:val="en-US"/>
              </w:rPr>
              <w:t>4,877,475</w:t>
            </w:r>
          </w:p>
        </w:tc>
      </w:tr>
      <w:tr w:rsidR="005D72AE" w:rsidRPr="00844A25" w14:paraId="0DC26A3C" w14:textId="77777777" w:rsidTr="00FA2A1A">
        <w:trPr>
          <w:cnfStyle w:val="000000100000" w:firstRow="0" w:lastRow="0" w:firstColumn="0" w:lastColumn="0" w:oddVBand="0" w:evenVBand="0" w:oddHBand="1" w:evenHBand="0" w:firstRowFirstColumn="0" w:firstRowLastColumn="0" w:lastRowFirstColumn="0" w:lastRowLastColumn="0"/>
          <w:trHeight w:val="293"/>
        </w:trPr>
        <w:tc>
          <w:tcPr>
            <w:cnfStyle w:val="000010000000" w:firstRow="0" w:lastRow="0" w:firstColumn="0" w:lastColumn="0" w:oddVBand="1" w:evenVBand="0" w:oddHBand="0" w:evenHBand="0" w:firstRowFirstColumn="0" w:firstRowLastColumn="0" w:lastRowFirstColumn="0" w:lastRowLastColumn="0"/>
            <w:tcW w:w="2382" w:type="dxa"/>
          </w:tcPr>
          <w:p w14:paraId="488B84E9" w14:textId="77777777" w:rsidR="005D72AE" w:rsidRPr="002263E2" w:rsidRDefault="005D72AE" w:rsidP="00FA2A1A">
            <w:pPr>
              <w:rPr>
                <w:b/>
                <w:bCs/>
                <w:lang w:val="en-US"/>
              </w:rPr>
            </w:pPr>
            <w:r w:rsidRPr="002263E2">
              <w:rPr>
                <w:b/>
                <w:bCs/>
                <w:lang w:val="en-US"/>
              </w:rPr>
              <w:t>Total liabilities</w:t>
            </w:r>
          </w:p>
        </w:tc>
        <w:tc>
          <w:tcPr>
            <w:cnfStyle w:val="000001000000" w:firstRow="0" w:lastRow="0" w:firstColumn="0" w:lastColumn="0" w:oddVBand="0" w:evenVBand="1" w:oddHBand="0" w:evenHBand="0" w:firstRowFirstColumn="0" w:firstRowLastColumn="0" w:lastRowFirstColumn="0" w:lastRowLastColumn="0"/>
            <w:tcW w:w="1020" w:type="dxa"/>
          </w:tcPr>
          <w:p w14:paraId="2B76B650" w14:textId="77777777" w:rsidR="005D72AE" w:rsidRPr="002263E2"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1937" w:type="dxa"/>
          </w:tcPr>
          <w:p w14:paraId="043CE279" w14:textId="77777777" w:rsidR="005D72AE" w:rsidRPr="002263E2" w:rsidRDefault="005D72AE" w:rsidP="00FA2A1A">
            <w:pPr>
              <w:rPr>
                <w:b/>
                <w:bCs/>
                <w:lang w:val="en-US"/>
              </w:rPr>
            </w:pPr>
            <w:r w:rsidRPr="002263E2">
              <w:rPr>
                <w:b/>
                <w:bCs/>
                <w:lang w:val="en-US"/>
              </w:rPr>
              <w:t>5,380,733</w:t>
            </w:r>
          </w:p>
        </w:tc>
        <w:tc>
          <w:tcPr>
            <w:cnfStyle w:val="000001000000" w:firstRow="0" w:lastRow="0" w:firstColumn="0" w:lastColumn="0" w:oddVBand="0" w:evenVBand="1" w:oddHBand="0" w:evenHBand="0" w:firstRowFirstColumn="0" w:firstRowLastColumn="0" w:lastRowFirstColumn="0" w:lastRowLastColumn="0"/>
            <w:tcW w:w="1937" w:type="dxa"/>
          </w:tcPr>
          <w:p w14:paraId="2EC8F368" w14:textId="77777777" w:rsidR="005D72AE" w:rsidRPr="002263E2" w:rsidRDefault="005D72AE" w:rsidP="00FA2A1A">
            <w:pPr>
              <w:rPr>
                <w:b/>
                <w:bCs/>
                <w:lang w:val="en-US"/>
              </w:rPr>
            </w:pPr>
            <w:r w:rsidRPr="002263E2">
              <w:rPr>
                <w:b/>
                <w:bCs/>
                <w:lang w:val="en-US"/>
              </w:rPr>
              <w:t>4,834,480</w:t>
            </w:r>
          </w:p>
        </w:tc>
        <w:tc>
          <w:tcPr>
            <w:cnfStyle w:val="000010000000" w:firstRow="0" w:lastRow="0" w:firstColumn="0" w:lastColumn="0" w:oddVBand="1" w:evenVBand="0" w:oddHBand="0" w:evenHBand="0" w:firstRowFirstColumn="0" w:firstRowLastColumn="0" w:lastRowFirstColumn="0" w:lastRowLastColumn="0"/>
            <w:tcW w:w="1938" w:type="dxa"/>
          </w:tcPr>
          <w:p w14:paraId="6E2EA024" w14:textId="77777777" w:rsidR="005D72AE" w:rsidRPr="002263E2" w:rsidRDefault="005D72AE" w:rsidP="00FA2A1A">
            <w:pPr>
              <w:rPr>
                <w:b/>
                <w:bCs/>
                <w:lang w:val="en-US"/>
              </w:rPr>
            </w:pPr>
            <w:r w:rsidRPr="002263E2">
              <w:rPr>
                <w:b/>
                <w:bCs/>
                <w:lang w:val="en-US"/>
              </w:rPr>
              <w:t>10,215,213</w:t>
            </w:r>
          </w:p>
        </w:tc>
      </w:tr>
      <w:tr w:rsidR="005D72AE" w:rsidRPr="00844A25" w14:paraId="35A6BABD" w14:textId="77777777" w:rsidTr="00FA2A1A">
        <w:trPr>
          <w:trHeight w:val="293"/>
        </w:trPr>
        <w:tc>
          <w:tcPr>
            <w:cnfStyle w:val="000010000000" w:firstRow="0" w:lastRow="0" w:firstColumn="0" w:lastColumn="0" w:oddVBand="1" w:evenVBand="0" w:oddHBand="0" w:evenHBand="0" w:firstRowFirstColumn="0" w:firstRowLastColumn="0" w:lastRowFirstColumn="0" w:lastRowLastColumn="0"/>
            <w:tcW w:w="2382" w:type="dxa"/>
          </w:tcPr>
          <w:p w14:paraId="76723BA9" w14:textId="77777777" w:rsidR="005D72AE" w:rsidRPr="00844A25" w:rsidRDefault="005D72AE" w:rsidP="00FA2A1A">
            <w:pPr>
              <w:rPr>
                <w:lang w:val="en-US"/>
              </w:rPr>
            </w:pPr>
            <w:r w:rsidRPr="00844A25">
              <w:rPr>
                <w:lang w:val="en-US"/>
              </w:rPr>
              <w:t>Contributed capital</w:t>
            </w:r>
          </w:p>
        </w:tc>
        <w:tc>
          <w:tcPr>
            <w:cnfStyle w:val="000001000000" w:firstRow="0" w:lastRow="0" w:firstColumn="0" w:lastColumn="0" w:oddVBand="0" w:evenVBand="1" w:oddHBand="0" w:evenHBand="0" w:firstRowFirstColumn="0" w:firstRowLastColumn="0" w:lastRowFirstColumn="0" w:lastRowLastColumn="0"/>
            <w:tcW w:w="1020" w:type="dxa"/>
          </w:tcPr>
          <w:p w14:paraId="1767C79F"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937" w:type="dxa"/>
          </w:tcPr>
          <w:p w14:paraId="0361D0BE" w14:textId="77777777" w:rsidR="005D72AE" w:rsidRPr="00844A25" w:rsidRDefault="005D72AE" w:rsidP="00FA2A1A">
            <w:pPr>
              <w:rPr>
                <w:lang w:val="en-US"/>
              </w:rPr>
            </w:pPr>
            <w:r w:rsidRPr="00844A25">
              <w:rPr>
                <w:lang w:val="en-US"/>
              </w:rPr>
              <w:t>873,921</w:t>
            </w:r>
          </w:p>
        </w:tc>
        <w:tc>
          <w:tcPr>
            <w:cnfStyle w:val="000001000000" w:firstRow="0" w:lastRow="0" w:firstColumn="0" w:lastColumn="0" w:oddVBand="0" w:evenVBand="1" w:oddHBand="0" w:evenHBand="0" w:firstRowFirstColumn="0" w:firstRowLastColumn="0" w:lastRowFirstColumn="0" w:lastRowLastColumn="0"/>
            <w:tcW w:w="1937" w:type="dxa"/>
          </w:tcPr>
          <w:p w14:paraId="5A91C26B"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938" w:type="dxa"/>
          </w:tcPr>
          <w:p w14:paraId="24DC61F5" w14:textId="77777777" w:rsidR="005D72AE" w:rsidRPr="00844A25" w:rsidRDefault="005D72AE" w:rsidP="00FA2A1A">
            <w:pPr>
              <w:rPr>
                <w:lang w:val="en-US"/>
              </w:rPr>
            </w:pPr>
            <w:r w:rsidRPr="00844A25">
              <w:rPr>
                <w:lang w:val="en-US"/>
              </w:rPr>
              <w:t>873,921</w:t>
            </w:r>
          </w:p>
        </w:tc>
      </w:tr>
      <w:tr w:rsidR="005D72AE" w:rsidRPr="00844A25" w14:paraId="67E93AF3" w14:textId="77777777" w:rsidTr="00FA2A1A">
        <w:trPr>
          <w:cnfStyle w:val="000000100000" w:firstRow="0" w:lastRow="0" w:firstColumn="0" w:lastColumn="0" w:oddVBand="0" w:evenVBand="0" w:oddHBand="1" w:evenHBand="0" w:firstRowFirstColumn="0" w:firstRowLastColumn="0" w:lastRowFirstColumn="0" w:lastRowLastColumn="0"/>
          <w:trHeight w:val="293"/>
        </w:trPr>
        <w:tc>
          <w:tcPr>
            <w:cnfStyle w:val="000010000000" w:firstRow="0" w:lastRow="0" w:firstColumn="0" w:lastColumn="0" w:oddVBand="1" w:evenVBand="0" w:oddHBand="0" w:evenHBand="0" w:firstRowFirstColumn="0" w:firstRowLastColumn="0" w:lastRowFirstColumn="0" w:lastRowLastColumn="0"/>
            <w:tcW w:w="2382" w:type="dxa"/>
          </w:tcPr>
          <w:p w14:paraId="5856AA1E" w14:textId="77777777" w:rsidR="005D72AE" w:rsidRPr="00844A25" w:rsidRDefault="005D72AE" w:rsidP="00FA2A1A">
            <w:pPr>
              <w:rPr>
                <w:lang w:val="en-US"/>
              </w:rPr>
            </w:pPr>
            <w:r w:rsidRPr="00844A25">
              <w:rPr>
                <w:lang w:val="en-US"/>
              </w:rPr>
              <w:t>Accumulated surplus</w:t>
            </w:r>
          </w:p>
        </w:tc>
        <w:tc>
          <w:tcPr>
            <w:cnfStyle w:val="000001000000" w:firstRow="0" w:lastRow="0" w:firstColumn="0" w:lastColumn="0" w:oddVBand="0" w:evenVBand="1" w:oddHBand="0" w:evenHBand="0" w:firstRowFirstColumn="0" w:firstRowLastColumn="0" w:lastRowFirstColumn="0" w:lastRowLastColumn="0"/>
            <w:tcW w:w="1020" w:type="dxa"/>
          </w:tcPr>
          <w:p w14:paraId="0FC9295A" w14:textId="77777777" w:rsidR="005D72AE" w:rsidRPr="00844A25" w:rsidRDefault="005D72AE" w:rsidP="00FA2A1A">
            <w:pPr>
              <w:rPr>
                <w:lang w:val="en-GB"/>
              </w:rPr>
            </w:pPr>
          </w:p>
        </w:tc>
        <w:tc>
          <w:tcPr>
            <w:cnfStyle w:val="000010000000" w:firstRow="0" w:lastRow="0" w:firstColumn="0" w:lastColumn="0" w:oddVBand="1" w:evenVBand="0" w:oddHBand="0" w:evenHBand="0" w:firstRowFirstColumn="0" w:firstRowLastColumn="0" w:lastRowFirstColumn="0" w:lastRowLastColumn="0"/>
            <w:tcW w:w="1937" w:type="dxa"/>
          </w:tcPr>
          <w:p w14:paraId="33441D1D" w14:textId="77777777" w:rsidR="005D72AE" w:rsidRPr="00844A25" w:rsidRDefault="005D72AE" w:rsidP="00FA2A1A">
            <w:pPr>
              <w:rPr>
                <w:lang w:val="en-US"/>
              </w:rPr>
            </w:pPr>
            <w:r w:rsidRPr="00844A25">
              <w:rPr>
                <w:lang w:val="en-US"/>
              </w:rPr>
              <w:t>12,956,908</w:t>
            </w:r>
          </w:p>
        </w:tc>
        <w:tc>
          <w:tcPr>
            <w:cnfStyle w:val="000001000000" w:firstRow="0" w:lastRow="0" w:firstColumn="0" w:lastColumn="0" w:oddVBand="0" w:evenVBand="1" w:oddHBand="0" w:evenHBand="0" w:firstRowFirstColumn="0" w:firstRowLastColumn="0" w:lastRowFirstColumn="0" w:lastRowLastColumn="0"/>
            <w:tcW w:w="1937" w:type="dxa"/>
          </w:tcPr>
          <w:p w14:paraId="571DBCF2"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938" w:type="dxa"/>
          </w:tcPr>
          <w:p w14:paraId="2AE680D5" w14:textId="77777777" w:rsidR="005D72AE" w:rsidRPr="00844A25" w:rsidRDefault="005D72AE" w:rsidP="00FA2A1A">
            <w:pPr>
              <w:rPr>
                <w:lang w:val="en-US"/>
              </w:rPr>
            </w:pPr>
            <w:r w:rsidRPr="00844A25">
              <w:rPr>
                <w:lang w:val="en-US"/>
              </w:rPr>
              <w:t>12,956,908</w:t>
            </w:r>
          </w:p>
        </w:tc>
      </w:tr>
      <w:tr w:rsidR="005D72AE" w:rsidRPr="00844A25" w14:paraId="11D5758F" w14:textId="77777777" w:rsidTr="00FA2A1A">
        <w:trPr>
          <w:trHeight w:val="368"/>
        </w:trPr>
        <w:tc>
          <w:tcPr>
            <w:cnfStyle w:val="000010000000" w:firstRow="0" w:lastRow="0" w:firstColumn="0" w:lastColumn="0" w:oddVBand="1" w:evenVBand="0" w:oddHBand="0" w:evenHBand="0" w:firstRowFirstColumn="0" w:firstRowLastColumn="0" w:lastRowFirstColumn="0" w:lastRowLastColumn="0"/>
            <w:tcW w:w="2382" w:type="dxa"/>
          </w:tcPr>
          <w:p w14:paraId="798778BB" w14:textId="77777777" w:rsidR="005D72AE" w:rsidRPr="002263E2" w:rsidRDefault="005D72AE" w:rsidP="00FA2A1A">
            <w:pPr>
              <w:rPr>
                <w:b/>
                <w:bCs/>
                <w:lang w:val="en-US"/>
              </w:rPr>
            </w:pPr>
            <w:r w:rsidRPr="002263E2">
              <w:rPr>
                <w:b/>
                <w:bCs/>
                <w:lang w:val="en-US"/>
              </w:rPr>
              <w:t>Total equity</w:t>
            </w:r>
          </w:p>
        </w:tc>
        <w:tc>
          <w:tcPr>
            <w:cnfStyle w:val="000001000000" w:firstRow="0" w:lastRow="0" w:firstColumn="0" w:lastColumn="0" w:oddVBand="0" w:evenVBand="1" w:oddHBand="0" w:evenHBand="0" w:firstRowFirstColumn="0" w:firstRowLastColumn="0" w:lastRowFirstColumn="0" w:lastRowLastColumn="0"/>
            <w:tcW w:w="1020" w:type="dxa"/>
          </w:tcPr>
          <w:p w14:paraId="5D2F92D2" w14:textId="77777777" w:rsidR="005D72AE" w:rsidRPr="002263E2" w:rsidRDefault="005D72AE" w:rsidP="00FA2A1A">
            <w:pPr>
              <w:rPr>
                <w:b/>
                <w:bCs/>
                <w:lang w:val="en-GB"/>
              </w:rPr>
            </w:pPr>
          </w:p>
        </w:tc>
        <w:tc>
          <w:tcPr>
            <w:cnfStyle w:val="000010000000" w:firstRow="0" w:lastRow="0" w:firstColumn="0" w:lastColumn="0" w:oddVBand="1" w:evenVBand="0" w:oddHBand="0" w:evenHBand="0" w:firstRowFirstColumn="0" w:firstRowLastColumn="0" w:lastRowFirstColumn="0" w:lastRowLastColumn="0"/>
            <w:tcW w:w="1937" w:type="dxa"/>
          </w:tcPr>
          <w:p w14:paraId="052069EB" w14:textId="77777777" w:rsidR="005D72AE" w:rsidRPr="002263E2" w:rsidRDefault="005D72AE" w:rsidP="00FA2A1A">
            <w:pPr>
              <w:rPr>
                <w:b/>
                <w:bCs/>
                <w:lang w:val="en-US"/>
              </w:rPr>
            </w:pPr>
            <w:r w:rsidRPr="002263E2">
              <w:rPr>
                <w:b/>
                <w:bCs/>
                <w:lang w:val="en-US"/>
              </w:rPr>
              <w:t>13,830,829</w:t>
            </w:r>
          </w:p>
        </w:tc>
        <w:tc>
          <w:tcPr>
            <w:cnfStyle w:val="000001000000" w:firstRow="0" w:lastRow="0" w:firstColumn="0" w:lastColumn="0" w:oddVBand="0" w:evenVBand="1" w:oddHBand="0" w:evenHBand="0" w:firstRowFirstColumn="0" w:firstRowLastColumn="0" w:lastRowFirstColumn="0" w:lastRowLastColumn="0"/>
            <w:tcW w:w="1937" w:type="dxa"/>
          </w:tcPr>
          <w:p w14:paraId="478C17DD" w14:textId="77777777" w:rsidR="005D72AE" w:rsidRPr="002263E2" w:rsidRDefault="005D72AE" w:rsidP="00FA2A1A">
            <w:pPr>
              <w:rPr>
                <w:b/>
                <w:bCs/>
                <w:lang w:val="en-US"/>
              </w:rPr>
            </w:pPr>
            <w:r w:rsidRPr="002263E2">
              <w:rPr>
                <w:b/>
                <w:bCs/>
                <w:lang w:val="en-US"/>
              </w:rPr>
              <w:t>-</w:t>
            </w:r>
          </w:p>
        </w:tc>
        <w:tc>
          <w:tcPr>
            <w:cnfStyle w:val="000010000000" w:firstRow="0" w:lastRow="0" w:firstColumn="0" w:lastColumn="0" w:oddVBand="1" w:evenVBand="0" w:oddHBand="0" w:evenHBand="0" w:firstRowFirstColumn="0" w:firstRowLastColumn="0" w:lastRowFirstColumn="0" w:lastRowLastColumn="0"/>
            <w:tcW w:w="1938" w:type="dxa"/>
          </w:tcPr>
          <w:p w14:paraId="647C5BAA" w14:textId="77777777" w:rsidR="005D72AE" w:rsidRPr="002263E2" w:rsidRDefault="005D72AE" w:rsidP="00FA2A1A">
            <w:pPr>
              <w:rPr>
                <w:b/>
                <w:bCs/>
                <w:lang w:val="en-US"/>
              </w:rPr>
            </w:pPr>
            <w:r w:rsidRPr="002263E2">
              <w:rPr>
                <w:b/>
                <w:bCs/>
                <w:lang w:val="en-US"/>
              </w:rPr>
              <w:t>13,830,829</w:t>
            </w:r>
          </w:p>
        </w:tc>
      </w:tr>
    </w:tbl>
    <w:p w14:paraId="450B9889" w14:textId="77777777" w:rsidR="005D72AE" w:rsidRPr="00844A25" w:rsidRDefault="005D72AE" w:rsidP="005D72AE">
      <w:pPr>
        <w:rPr>
          <w:lang w:val="en-US"/>
        </w:rPr>
      </w:pPr>
      <w:r w:rsidRPr="00844A25">
        <w:rPr>
          <w:i/>
          <w:iCs/>
          <w:lang w:val="en-US"/>
        </w:rPr>
        <w:t>(a) The commission’s right-of-use accommodation leases and the associated lease liabilities were transferred to DTF’s administered balance sheet under CAM on 1 November 2019, along with the whole of government’s right-of-use accommodation leases and lease liabilities. CAM is further described in Note 9.2.1.</w:t>
      </w:r>
    </w:p>
    <w:p w14:paraId="68E79257" w14:textId="77777777" w:rsidR="005D72AE" w:rsidRPr="00844A25" w:rsidRDefault="005D72AE" w:rsidP="005D72AE">
      <w:pPr>
        <w:rPr>
          <w:lang w:val="en-US"/>
        </w:rPr>
      </w:pPr>
      <w:r w:rsidRPr="00844A25">
        <w:rPr>
          <w:lang w:val="en-US"/>
        </w:rPr>
        <w:t>9.3. Responsible persons</w:t>
      </w:r>
    </w:p>
    <w:p w14:paraId="16E5F3E4" w14:textId="77777777" w:rsidR="005D72AE" w:rsidRPr="00844A25" w:rsidRDefault="005D72AE" w:rsidP="005D72AE">
      <w:pPr>
        <w:rPr>
          <w:lang w:val="en-US"/>
        </w:rPr>
      </w:pPr>
      <w:r w:rsidRPr="00844A25">
        <w:rPr>
          <w:lang w:val="en-US"/>
        </w:rPr>
        <w:t>The persons who held the positions of Minister and Accountable Officer in the commission (from 1 July 2019 to 30 June 2020 unless otherwise stated) were:</w:t>
      </w:r>
    </w:p>
    <w:tbl>
      <w:tblPr>
        <w:tblStyle w:val="PlainTable2"/>
        <w:tblW w:w="9097" w:type="dxa"/>
        <w:tblInd w:w="-5" w:type="dxa"/>
        <w:tblLayout w:type="fixed"/>
        <w:tblLook w:val="0000" w:firstRow="0" w:lastRow="0" w:firstColumn="0" w:lastColumn="0" w:noHBand="0" w:noVBand="0"/>
      </w:tblPr>
      <w:tblGrid>
        <w:gridCol w:w="1985"/>
        <w:gridCol w:w="7112"/>
      </w:tblGrid>
      <w:tr w:rsidR="005D72AE" w:rsidRPr="00844A25" w14:paraId="25DC60A7" w14:textId="77777777" w:rsidTr="00FA2A1A">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1985" w:type="dxa"/>
          </w:tcPr>
          <w:p w14:paraId="0ECA34F8" w14:textId="77777777" w:rsidR="005D72AE" w:rsidRPr="00C33F05" w:rsidRDefault="005D72AE" w:rsidP="00FA2A1A">
            <w:pPr>
              <w:rPr>
                <w:b/>
                <w:bCs/>
                <w:lang w:val="en-US"/>
              </w:rPr>
            </w:pPr>
            <w:r w:rsidRPr="00C33F05">
              <w:rPr>
                <w:b/>
                <w:bCs/>
                <w:lang w:val="en-US"/>
              </w:rPr>
              <w:t>Responsible Minister</w:t>
            </w:r>
          </w:p>
        </w:tc>
        <w:tc>
          <w:tcPr>
            <w:cnfStyle w:val="000001000000" w:firstRow="0" w:lastRow="0" w:firstColumn="0" w:lastColumn="0" w:oddVBand="0" w:evenVBand="1" w:oddHBand="0" w:evenHBand="0" w:firstRowFirstColumn="0" w:firstRowLastColumn="0" w:lastRowFirstColumn="0" w:lastRowLastColumn="0"/>
            <w:tcW w:w="7112" w:type="dxa"/>
          </w:tcPr>
          <w:p w14:paraId="7E5EB7FA" w14:textId="77777777" w:rsidR="005D72AE" w:rsidRPr="00844A25" w:rsidRDefault="005D72AE" w:rsidP="00FA2A1A">
            <w:pPr>
              <w:rPr>
                <w:lang w:val="en-US"/>
              </w:rPr>
            </w:pPr>
            <w:r w:rsidRPr="00844A25">
              <w:rPr>
                <w:lang w:val="en-US"/>
              </w:rPr>
              <w:t>The Hon. Robin Scott, MP, Assistant Treasurer (until 15 June 2020)</w:t>
            </w:r>
          </w:p>
          <w:p w14:paraId="12C4E045" w14:textId="77777777" w:rsidR="005D72AE" w:rsidRPr="00844A25" w:rsidRDefault="005D72AE" w:rsidP="00FA2A1A">
            <w:pPr>
              <w:rPr>
                <w:lang w:val="en-US"/>
              </w:rPr>
            </w:pPr>
            <w:r w:rsidRPr="00844A25">
              <w:rPr>
                <w:lang w:val="en-US"/>
              </w:rPr>
              <w:t>Mr Danny Pearson, MP, Assistant Treasurer (from 22 June 2020)</w:t>
            </w:r>
          </w:p>
        </w:tc>
      </w:tr>
      <w:tr w:rsidR="005D72AE" w:rsidRPr="00844A25" w14:paraId="67EF8D8C" w14:textId="77777777" w:rsidTr="00FA2A1A">
        <w:trPr>
          <w:trHeight w:val="58"/>
        </w:trPr>
        <w:tc>
          <w:tcPr>
            <w:cnfStyle w:val="000010000000" w:firstRow="0" w:lastRow="0" w:firstColumn="0" w:lastColumn="0" w:oddVBand="1" w:evenVBand="0" w:oddHBand="0" w:evenHBand="0" w:firstRowFirstColumn="0" w:firstRowLastColumn="0" w:lastRowFirstColumn="0" w:lastRowLastColumn="0"/>
            <w:tcW w:w="1985" w:type="dxa"/>
          </w:tcPr>
          <w:p w14:paraId="1274B93E" w14:textId="77777777" w:rsidR="005D72AE" w:rsidRPr="00C33F05" w:rsidRDefault="005D72AE" w:rsidP="00FA2A1A">
            <w:pPr>
              <w:rPr>
                <w:b/>
                <w:bCs/>
                <w:lang w:val="en-US"/>
              </w:rPr>
            </w:pPr>
            <w:r w:rsidRPr="00C33F05">
              <w:rPr>
                <w:b/>
                <w:bCs/>
                <w:lang w:val="en-US"/>
              </w:rPr>
              <w:t>Accountable Officer</w:t>
            </w:r>
          </w:p>
        </w:tc>
        <w:tc>
          <w:tcPr>
            <w:cnfStyle w:val="000001000000" w:firstRow="0" w:lastRow="0" w:firstColumn="0" w:lastColumn="0" w:oddVBand="0" w:evenVBand="1" w:oddHBand="0" w:evenHBand="0" w:firstRowFirstColumn="0" w:firstRowLastColumn="0" w:lastRowFirstColumn="0" w:lastRowLastColumn="0"/>
            <w:tcW w:w="7112" w:type="dxa"/>
          </w:tcPr>
          <w:p w14:paraId="22F33972" w14:textId="77777777" w:rsidR="005D72AE" w:rsidRPr="00844A25" w:rsidRDefault="005D72AE" w:rsidP="00FA2A1A">
            <w:pPr>
              <w:rPr>
                <w:lang w:val="en-US"/>
              </w:rPr>
            </w:pPr>
            <w:r w:rsidRPr="00844A25">
              <w:rPr>
                <w:lang w:val="en-US"/>
              </w:rPr>
              <w:t>Dr John Hamill, Chief Executive Officer</w:t>
            </w:r>
          </w:p>
        </w:tc>
      </w:tr>
    </w:tbl>
    <w:p w14:paraId="6C162A78" w14:textId="77777777" w:rsidR="005D72AE" w:rsidRPr="00844A25" w:rsidRDefault="005D72AE" w:rsidP="005D72AE">
      <w:pPr>
        <w:rPr>
          <w:lang w:val="en-US"/>
        </w:rPr>
      </w:pPr>
      <w:r w:rsidRPr="00844A25">
        <w:rPr>
          <w:lang w:val="en-US"/>
        </w:rPr>
        <w:t>Tim Pallas MP and the Hon. Daniel Andrews MP acted for the Assistant Treasurer in the absences of the</w:t>
      </w:r>
      <w:r>
        <w:rPr>
          <w:lang w:val="en-US"/>
        </w:rPr>
        <w:t xml:space="preserve"> </w:t>
      </w:r>
      <w:r w:rsidRPr="00844A25">
        <w:rPr>
          <w:lang w:val="en-US"/>
        </w:rPr>
        <w:t>Hon. Robin Scott MP.</w:t>
      </w:r>
    </w:p>
    <w:p w14:paraId="29682C0A" w14:textId="77777777" w:rsidR="005D72AE" w:rsidRPr="00844A25" w:rsidRDefault="005D72AE" w:rsidP="005D72AE">
      <w:pPr>
        <w:rPr>
          <w:lang w:val="en-US"/>
        </w:rPr>
      </w:pPr>
      <w:r w:rsidRPr="00844A25">
        <w:rPr>
          <w:lang w:val="en-US"/>
        </w:rPr>
        <w:t>Total remuneration received or receivable by the Accountable Officer in connection with the management</w:t>
      </w:r>
      <w:r>
        <w:rPr>
          <w:lang w:val="en-US"/>
        </w:rPr>
        <w:t xml:space="preserve"> </w:t>
      </w:r>
      <w:r w:rsidRPr="00844A25">
        <w:rPr>
          <w:lang w:val="en-US"/>
        </w:rPr>
        <w:t>of the commission during the reporting period was in the range: $340,000 - $349,999 ($300,000 – $309,999 in 2018-19).</w:t>
      </w:r>
      <w:r>
        <w:rPr>
          <w:lang w:val="en-US"/>
        </w:rPr>
        <w:t xml:space="preserve"> </w:t>
      </w:r>
    </w:p>
    <w:p w14:paraId="1C6E4B95" w14:textId="77777777" w:rsidR="005D72AE" w:rsidRPr="00844A25" w:rsidRDefault="005D72AE" w:rsidP="005D72AE">
      <w:pPr>
        <w:rPr>
          <w:lang w:val="en-US"/>
        </w:rPr>
      </w:pPr>
      <w:r w:rsidRPr="00844A25">
        <w:rPr>
          <w:lang w:val="en-US"/>
        </w:rPr>
        <w:lastRenderedPageBreak/>
        <w:t>Amounts relating to ministers are reported in the annual statements of the Department of Parliamentary Services.</w:t>
      </w:r>
    </w:p>
    <w:p w14:paraId="4E5665B3" w14:textId="77777777" w:rsidR="005D72AE" w:rsidRPr="00844A25" w:rsidRDefault="005D72AE" w:rsidP="005D72AE">
      <w:pPr>
        <w:pStyle w:val="Heading3"/>
      </w:pPr>
      <w:r w:rsidRPr="00844A25">
        <w:t>9.4. Remuneration of executives</w:t>
      </w:r>
    </w:p>
    <w:p w14:paraId="6388644F" w14:textId="77777777" w:rsidR="005D72AE" w:rsidRPr="00844A25" w:rsidRDefault="005D72AE" w:rsidP="005D72AE">
      <w:pPr>
        <w:rPr>
          <w:lang w:val="en-US"/>
        </w:rPr>
      </w:pPr>
      <w:r w:rsidRPr="00844A25">
        <w:rPr>
          <w:lang w:val="en-US"/>
        </w:rPr>
        <w:t>The number of executive officers, other than ministers and accountable officers, and their total remuneration during the reporting period are shown in the table below. Total annualised employee equivalents provide a measure of full time equivalent executive officers over the reporting period.</w:t>
      </w:r>
    </w:p>
    <w:p w14:paraId="027D1434" w14:textId="77777777" w:rsidR="005D72AE" w:rsidRPr="00844A25" w:rsidRDefault="005D72AE" w:rsidP="005D72AE">
      <w:pPr>
        <w:rPr>
          <w:lang w:val="en-US"/>
        </w:rPr>
      </w:pPr>
      <w:r w:rsidRPr="00844A25">
        <w:rPr>
          <w:lang w:val="en-US"/>
        </w:rPr>
        <w:t>Remuneration comprises employee benefits in all forms of consideration paid, payable or provided by the entity, or on behalf of the entity, in exchange for services rendered, and is disclosed in the following categories:</w:t>
      </w:r>
    </w:p>
    <w:p w14:paraId="137CB8C7" w14:textId="77777777" w:rsidR="005D72AE" w:rsidRPr="00844A25" w:rsidRDefault="005D72AE" w:rsidP="005D72AE">
      <w:pPr>
        <w:rPr>
          <w:lang w:val="en-US"/>
        </w:rPr>
      </w:pPr>
      <w:r w:rsidRPr="00C33F05">
        <w:rPr>
          <w:b/>
          <w:bCs/>
          <w:lang w:val="en-US"/>
        </w:rPr>
        <w:t>Short-term employee benefits</w:t>
      </w:r>
      <w:r w:rsidRPr="00844A25">
        <w:rPr>
          <w:lang w:val="en-US"/>
        </w:rPr>
        <w:t xml:space="preserve"> include amounts such as wages, salaries, annual leave or sick leave that are usually paid or payable on a regular basis, as well as non-monetary benefits such as allowances and free or subsidised goods or services.</w:t>
      </w:r>
    </w:p>
    <w:p w14:paraId="32C97261" w14:textId="77777777" w:rsidR="005D72AE" w:rsidRPr="00844A25" w:rsidRDefault="005D72AE" w:rsidP="005D72AE">
      <w:pPr>
        <w:rPr>
          <w:lang w:val="en-US"/>
        </w:rPr>
      </w:pPr>
      <w:r w:rsidRPr="00C33F05">
        <w:rPr>
          <w:b/>
          <w:bCs/>
          <w:lang w:val="en-US"/>
        </w:rPr>
        <w:t>Post-employment benefits</w:t>
      </w:r>
      <w:r w:rsidRPr="00844A25">
        <w:rPr>
          <w:lang w:val="en-US"/>
        </w:rPr>
        <w:t xml:space="preserve"> include pensions and other retirement benefits paid or payable on a discrete basis when employment has ceased.</w:t>
      </w:r>
    </w:p>
    <w:p w14:paraId="7535B3AC" w14:textId="77777777" w:rsidR="005D72AE" w:rsidRPr="00844A25" w:rsidRDefault="005D72AE" w:rsidP="005D72AE">
      <w:pPr>
        <w:rPr>
          <w:lang w:val="en-US"/>
        </w:rPr>
      </w:pPr>
      <w:r w:rsidRPr="00C33F05">
        <w:rPr>
          <w:b/>
          <w:bCs/>
          <w:lang w:val="en-US"/>
        </w:rPr>
        <w:t>Other long-term benefits</w:t>
      </w:r>
      <w:r w:rsidRPr="00844A25">
        <w:rPr>
          <w:lang w:val="en-US"/>
        </w:rPr>
        <w:t xml:space="preserve"> include long service leave, other long-service benefit or deferred compensation.</w:t>
      </w:r>
    </w:p>
    <w:p w14:paraId="283AD5C8" w14:textId="77777777" w:rsidR="005D72AE" w:rsidRPr="00844A25" w:rsidRDefault="005D72AE" w:rsidP="005D72AE">
      <w:pPr>
        <w:rPr>
          <w:lang w:val="en-US"/>
        </w:rPr>
      </w:pPr>
      <w:r w:rsidRPr="00C33F05">
        <w:rPr>
          <w:b/>
          <w:bCs/>
          <w:lang w:val="en-US"/>
        </w:rPr>
        <w:t>Termination benefits</w:t>
      </w:r>
      <w:r w:rsidRPr="00844A25">
        <w:rPr>
          <w:lang w:val="en-US"/>
        </w:rPr>
        <w:t xml:space="preserve"> include termination of employment payments, such as severance packages.</w:t>
      </w:r>
    </w:p>
    <w:tbl>
      <w:tblPr>
        <w:tblStyle w:val="PlainTable2"/>
        <w:tblW w:w="9180" w:type="dxa"/>
        <w:tblInd w:w="-5" w:type="dxa"/>
        <w:tblLayout w:type="fixed"/>
        <w:tblLook w:val="0000" w:firstRow="0" w:lastRow="0" w:firstColumn="0" w:lastColumn="0" w:noHBand="0" w:noVBand="0"/>
      </w:tblPr>
      <w:tblGrid>
        <w:gridCol w:w="6365"/>
        <w:gridCol w:w="1407"/>
        <w:gridCol w:w="1408"/>
      </w:tblGrid>
      <w:tr w:rsidR="005D72AE" w:rsidRPr="00844A25" w14:paraId="2A8CFFFB" w14:textId="77777777" w:rsidTr="00FA2A1A">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6365" w:type="dxa"/>
          </w:tcPr>
          <w:p w14:paraId="74281CB7" w14:textId="77777777" w:rsidR="005D72AE" w:rsidRPr="00844A25"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2815" w:type="dxa"/>
            <w:gridSpan w:val="2"/>
          </w:tcPr>
          <w:p w14:paraId="41E28820" w14:textId="77777777" w:rsidR="005D72AE" w:rsidRPr="00844A25" w:rsidRDefault="005D72AE" w:rsidP="00FA2A1A">
            <w:pPr>
              <w:rPr>
                <w:b/>
                <w:bCs/>
                <w:lang w:val="en-US"/>
              </w:rPr>
            </w:pPr>
            <w:r w:rsidRPr="00844A25">
              <w:rPr>
                <w:b/>
                <w:bCs/>
                <w:lang w:val="en-US"/>
              </w:rPr>
              <w:t>Total remuneration</w:t>
            </w:r>
          </w:p>
        </w:tc>
      </w:tr>
      <w:tr w:rsidR="005D72AE" w:rsidRPr="00844A25" w14:paraId="07329F4E" w14:textId="77777777" w:rsidTr="00FA2A1A">
        <w:trPr>
          <w:trHeight w:val="286"/>
        </w:trPr>
        <w:tc>
          <w:tcPr>
            <w:cnfStyle w:val="000010000000" w:firstRow="0" w:lastRow="0" w:firstColumn="0" w:lastColumn="0" w:oddVBand="1" w:evenVBand="0" w:oddHBand="0" w:evenHBand="0" w:firstRowFirstColumn="0" w:firstRowLastColumn="0" w:lastRowFirstColumn="0" w:lastRowLastColumn="0"/>
            <w:tcW w:w="6365" w:type="dxa"/>
          </w:tcPr>
          <w:p w14:paraId="7E44F72D" w14:textId="77777777" w:rsidR="005D72AE" w:rsidRPr="00844A25" w:rsidRDefault="005D72AE" w:rsidP="00FA2A1A">
            <w:pPr>
              <w:rPr>
                <w:b/>
                <w:bCs/>
                <w:lang w:val="en-US"/>
              </w:rPr>
            </w:pPr>
            <w:r w:rsidRPr="00844A25">
              <w:rPr>
                <w:b/>
                <w:bCs/>
                <w:lang w:val="en-US"/>
              </w:rPr>
              <w:t>Remuneration of executive officers</w:t>
            </w:r>
          </w:p>
        </w:tc>
        <w:tc>
          <w:tcPr>
            <w:cnfStyle w:val="000001000000" w:firstRow="0" w:lastRow="0" w:firstColumn="0" w:lastColumn="0" w:oddVBand="0" w:evenVBand="1" w:oddHBand="0" w:evenHBand="0" w:firstRowFirstColumn="0" w:firstRowLastColumn="0" w:lastRowFirstColumn="0" w:lastRowLastColumn="0"/>
            <w:tcW w:w="1407" w:type="dxa"/>
          </w:tcPr>
          <w:p w14:paraId="36CB85FD" w14:textId="77777777" w:rsidR="005D72AE" w:rsidRPr="00844A25" w:rsidRDefault="005D72AE" w:rsidP="00FA2A1A">
            <w:pPr>
              <w:rPr>
                <w:b/>
                <w:bCs/>
                <w:lang w:val="en-US"/>
              </w:rPr>
            </w:pPr>
            <w:r w:rsidRPr="00844A25">
              <w:rPr>
                <w:b/>
                <w:bCs/>
                <w:lang w:val="en-US"/>
              </w:rPr>
              <w:t>2020</w:t>
            </w:r>
          </w:p>
        </w:tc>
        <w:tc>
          <w:tcPr>
            <w:cnfStyle w:val="000010000000" w:firstRow="0" w:lastRow="0" w:firstColumn="0" w:lastColumn="0" w:oddVBand="1" w:evenVBand="0" w:oddHBand="0" w:evenHBand="0" w:firstRowFirstColumn="0" w:firstRowLastColumn="0" w:lastRowFirstColumn="0" w:lastRowLastColumn="0"/>
            <w:tcW w:w="1407" w:type="dxa"/>
          </w:tcPr>
          <w:p w14:paraId="38E01281" w14:textId="77777777" w:rsidR="005D72AE" w:rsidRPr="00844A25" w:rsidRDefault="005D72AE" w:rsidP="00FA2A1A">
            <w:pPr>
              <w:rPr>
                <w:b/>
                <w:bCs/>
                <w:lang w:val="en-US"/>
              </w:rPr>
            </w:pPr>
            <w:r w:rsidRPr="00844A25">
              <w:rPr>
                <w:b/>
                <w:bCs/>
                <w:lang w:val="en-US"/>
              </w:rPr>
              <w:t>2019</w:t>
            </w:r>
          </w:p>
        </w:tc>
      </w:tr>
      <w:tr w:rsidR="005D72AE" w:rsidRPr="00844A25" w14:paraId="7290538F" w14:textId="77777777" w:rsidTr="00FA2A1A">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6365" w:type="dxa"/>
          </w:tcPr>
          <w:p w14:paraId="3C162EE8" w14:textId="77777777" w:rsidR="005D72AE" w:rsidRPr="00844A25"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407" w:type="dxa"/>
          </w:tcPr>
          <w:p w14:paraId="3A123D45" w14:textId="77777777" w:rsidR="005D72AE" w:rsidRPr="00844A25" w:rsidRDefault="005D72AE" w:rsidP="00FA2A1A">
            <w:pPr>
              <w:rPr>
                <w:b/>
                <w:bCs/>
                <w:lang w:val="en-US"/>
              </w:rPr>
            </w:pPr>
            <w:r w:rsidRPr="00844A25">
              <w:rPr>
                <w:b/>
                <w:bCs/>
                <w:lang w:val="en-US"/>
              </w:rPr>
              <w:t>$</w:t>
            </w:r>
          </w:p>
        </w:tc>
        <w:tc>
          <w:tcPr>
            <w:cnfStyle w:val="000010000000" w:firstRow="0" w:lastRow="0" w:firstColumn="0" w:lastColumn="0" w:oddVBand="1" w:evenVBand="0" w:oddHBand="0" w:evenHBand="0" w:firstRowFirstColumn="0" w:firstRowLastColumn="0" w:lastRowFirstColumn="0" w:lastRowLastColumn="0"/>
            <w:tcW w:w="1407" w:type="dxa"/>
          </w:tcPr>
          <w:p w14:paraId="68C54260" w14:textId="77777777" w:rsidR="005D72AE" w:rsidRPr="00844A25" w:rsidRDefault="005D72AE" w:rsidP="00FA2A1A">
            <w:pPr>
              <w:rPr>
                <w:b/>
                <w:bCs/>
                <w:lang w:val="en-US"/>
              </w:rPr>
            </w:pPr>
            <w:r w:rsidRPr="00844A25">
              <w:rPr>
                <w:b/>
                <w:bCs/>
                <w:lang w:val="en-US"/>
              </w:rPr>
              <w:t>$</w:t>
            </w:r>
          </w:p>
        </w:tc>
      </w:tr>
      <w:tr w:rsidR="005D72AE" w:rsidRPr="00844A25" w14:paraId="6E9EEA34" w14:textId="77777777" w:rsidTr="00FA2A1A">
        <w:trPr>
          <w:trHeight w:val="286"/>
        </w:trPr>
        <w:tc>
          <w:tcPr>
            <w:cnfStyle w:val="000010000000" w:firstRow="0" w:lastRow="0" w:firstColumn="0" w:lastColumn="0" w:oddVBand="1" w:evenVBand="0" w:oddHBand="0" w:evenHBand="0" w:firstRowFirstColumn="0" w:firstRowLastColumn="0" w:lastRowFirstColumn="0" w:lastRowLastColumn="0"/>
            <w:tcW w:w="6365" w:type="dxa"/>
          </w:tcPr>
          <w:p w14:paraId="25E28A5D" w14:textId="77777777" w:rsidR="005D72AE" w:rsidRPr="00844A25" w:rsidRDefault="005D72AE" w:rsidP="00FA2A1A">
            <w:pPr>
              <w:rPr>
                <w:lang w:val="en-US"/>
              </w:rPr>
            </w:pPr>
            <w:r w:rsidRPr="00844A25">
              <w:rPr>
                <w:lang w:val="en-US"/>
              </w:rPr>
              <w:t>Short-term employee benefits</w:t>
            </w:r>
          </w:p>
        </w:tc>
        <w:tc>
          <w:tcPr>
            <w:cnfStyle w:val="000001000000" w:firstRow="0" w:lastRow="0" w:firstColumn="0" w:lastColumn="0" w:oddVBand="0" w:evenVBand="1" w:oddHBand="0" w:evenHBand="0" w:firstRowFirstColumn="0" w:firstRowLastColumn="0" w:lastRowFirstColumn="0" w:lastRowLastColumn="0"/>
            <w:tcW w:w="1407" w:type="dxa"/>
          </w:tcPr>
          <w:p w14:paraId="7EE2DD89" w14:textId="77777777" w:rsidR="005D72AE" w:rsidRPr="00844A25" w:rsidRDefault="005D72AE" w:rsidP="00FA2A1A">
            <w:pPr>
              <w:rPr>
                <w:lang w:val="en-US"/>
              </w:rPr>
            </w:pPr>
            <w:r w:rsidRPr="00844A25">
              <w:rPr>
                <w:lang w:val="en-US"/>
              </w:rPr>
              <w:t>817,979</w:t>
            </w:r>
          </w:p>
        </w:tc>
        <w:tc>
          <w:tcPr>
            <w:cnfStyle w:val="000010000000" w:firstRow="0" w:lastRow="0" w:firstColumn="0" w:lastColumn="0" w:oddVBand="1" w:evenVBand="0" w:oddHBand="0" w:evenHBand="0" w:firstRowFirstColumn="0" w:firstRowLastColumn="0" w:lastRowFirstColumn="0" w:lastRowLastColumn="0"/>
            <w:tcW w:w="1407" w:type="dxa"/>
          </w:tcPr>
          <w:p w14:paraId="6059C31C" w14:textId="77777777" w:rsidR="005D72AE" w:rsidRPr="00844A25" w:rsidRDefault="005D72AE" w:rsidP="00FA2A1A">
            <w:pPr>
              <w:rPr>
                <w:lang w:val="en-US"/>
              </w:rPr>
            </w:pPr>
            <w:r w:rsidRPr="00844A25">
              <w:rPr>
                <w:lang w:val="en-US"/>
              </w:rPr>
              <w:t>871,843</w:t>
            </w:r>
          </w:p>
        </w:tc>
      </w:tr>
      <w:tr w:rsidR="005D72AE" w:rsidRPr="00844A25" w14:paraId="601F705A" w14:textId="77777777" w:rsidTr="00FA2A1A">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6365" w:type="dxa"/>
          </w:tcPr>
          <w:p w14:paraId="618BAF58" w14:textId="77777777" w:rsidR="005D72AE" w:rsidRPr="00844A25" w:rsidRDefault="005D72AE" w:rsidP="00FA2A1A">
            <w:pPr>
              <w:rPr>
                <w:lang w:val="en-US"/>
              </w:rPr>
            </w:pPr>
            <w:r w:rsidRPr="00844A25">
              <w:rPr>
                <w:lang w:val="en-US"/>
              </w:rPr>
              <w:t xml:space="preserve">Post-employment benefits </w:t>
            </w:r>
          </w:p>
        </w:tc>
        <w:tc>
          <w:tcPr>
            <w:cnfStyle w:val="000001000000" w:firstRow="0" w:lastRow="0" w:firstColumn="0" w:lastColumn="0" w:oddVBand="0" w:evenVBand="1" w:oddHBand="0" w:evenHBand="0" w:firstRowFirstColumn="0" w:firstRowLastColumn="0" w:lastRowFirstColumn="0" w:lastRowLastColumn="0"/>
            <w:tcW w:w="1407" w:type="dxa"/>
          </w:tcPr>
          <w:p w14:paraId="46D2B6E2" w14:textId="77777777" w:rsidR="005D72AE" w:rsidRPr="00844A25" w:rsidRDefault="005D72AE" w:rsidP="00FA2A1A">
            <w:pPr>
              <w:rPr>
                <w:lang w:val="en-US"/>
              </w:rPr>
            </w:pPr>
            <w:r w:rsidRPr="00844A25">
              <w:rPr>
                <w:lang w:val="en-US"/>
              </w:rPr>
              <w:t>78,675</w:t>
            </w:r>
          </w:p>
        </w:tc>
        <w:tc>
          <w:tcPr>
            <w:cnfStyle w:val="000010000000" w:firstRow="0" w:lastRow="0" w:firstColumn="0" w:lastColumn="0" w:oddVBand="1" w:evenVBand="0" w:oddHBand="0" w:evenHBand="0" w:firstRowFirstColumn="0" w:firstRowLastColumn="0" w:lastRowFirstColumn="0" w:lastRowLastColumn="0"/>
            <w:tcW w:w="1407" w:type="dxa"/>
          </w:tcPr>
          <w:p w14:paraId="1CBED5DE" w14:textId="77777777" w:rsidR="005D72AE" w:rsidRPr="00844A25" w:rsidRDefault="005D72AE" w:rsidP="00FA2A1A">
            <w:pPr>
              <w:rPr>
                <w:lang w:val="en-US"/>
              </w:rPr>
            </w:pPr>
            <w:r w:rsidRPr="00844A25">
              <w:rPr>
                <w:lang w:val="en-US"/>
              </w:rPr>
              <w:t>94,961</w:t>
            </w:r>
          </w:p>
        </w:tc>
      </w:tr>
      <w:tr w:rsidR="005D72AE" w:rsidRPr="00844A25" w14:paraId="718CBE35" w14:textId="77777777" w:rsidTr="00FA2A1A">
        <w:trPr>
          <w:trHeight w:val="286"/>
        </w:trPr>
        <w:tc>
          <w:tcPr>
            <w:cnfStyle w:val="000010000000" w:firstRow="0" w:lastRow="0" w:firstColumn="0" w:lastColumn="0" w:oddVBand="1" w:evenVBand="0" w:oddHBand="0" w:evenHBand="0" w:firstRowFirstColumn="0" w:firstRowLastColumn="0" w:lastRowFirstColumn="0" w:lastRowLastColumn="0"/>
            <w:tcW w:w="6365" w:type="dxa"/>
          </w:tcPr>
          <w:p w14:paraId="31260A35" w14:textId="77777777" w:rsidR="005D72AE" w:rsidRPr="00844A25" w:rsidRDefault="005D72AE" w:rsidP="00FA2A1A">
            <w:pPr>
              <w:rPr>
                <w:lang w:val="en-US"/>
              </w:rPr>
            </w:pPr>
            <w:r w:rsidRPr="00844A25">
              <w:rPr>
                <w:lang w:val="en-US"/>
              </w:rPr>
              <w:t xml:space="preserve">Other long-term benefits </w:t>
            </w:r>
          </w:p>
        </w:tc>
        <w:tc>
          <w:tcPr>
            <w:cnfStyle w:val="000001000000" w:firstRow="0" w:lastRow="0" w:firstColumn="0" w:lastColumn="0" w:oddVBand="0" w:evenVBand="1" w:oddHBand="0" w:evenHBand="0" w:firstRowFirstColumn="0" w:firstRowLastColumn="0" w:lastRowFirstColumn="0" w:lastRowLastColumn="0"/>
            <w:tcW w:w="1407" w:type="dxa"/>
          </w:tcPr>
          <w:p w14:paraId="1B62611B" w14:textId="77777777" w:rsidR="005D72AE" w:rsidRPr="00844A25" w:rsidRDefault="005D72AE" w:rsidP="00FA2A1A">
            <w:pPr>
              <w:rPr>
                <w:lang w:val="en-US"/>
              </w:rPr>
            </w:pPr>
            <w:r w:rsidRPr="00844A25">
              <w:rPr>
                <w:lang w:val="en-US"/>
              </w:rPr>
              <w:t>60,339</w:t>
            </w:r>
          </w:p>
        </w:tc>
        <w:tc>
          <w:tcPr>
            <w:cnfStyle w:val="000010000000" w:firstRow="0" w:lastRow="0" w:firstColumn="0" w:lastColumn="0" w:oddVBand="1" w:evenVBand="0" w:oddHBand="0" w:evenHBand="0" w:firstRowFirstColumn="0" w:firstRowLastColumn="0" w:lastRowFirstColumn="0" w:lastRowLastColumn="0"/>
            <w:tcW w:w="1407" w:type="dxa"/>
          </w:tcPr>
          <w:p w14:paraId="28341816" w14:textId="77777777" w:rsidR="005D72AE" w:rsidRPr="00844A25" w:rsidRDefault="005D72AE" w:rsidP="00FA2A1A">
            <w:pPr>
              <w:rPr>
                <w:lang w:val="en-US"/>
              </w:rPr>
            </w:pPr>
            <w:r w:rsidRPr="00844A25">
              <w:rPr>
                <w:lang w:val="en-US"/>
              </w:rPr>
              <w:t>47,882</w:t>
            </w:r>
          </w:p>
        </w:tc>
      </w:tr>
      <w:tr w:rsidR="005D72AE" w:rsidRPr="00844A25" w14:paraId="319316E1" w14:textId="77777777" w:rsidTr="00FA2A1A">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6365" w:type="dxa"/>
          </w:tcPr>
          <w:p w14:paraId="3F69FCA0" w14:textId="77777777" w:rsidR="005D72AE" w:rsidRPr="00844A25" w:rsidRDefault="005D72AE" w:rsidP="00FA2A1A">
            <w:pPr>
              <w:rPr>
                <w:lang w:val="en-US"/>
              </w:rPr>
            </w:pPr>
            <w:r w:rsidRPr="00844A25">
              <w:rPr>
                <w:lang w:val="en-US"/>
              </w:rPr>
              <w:t xml:space="preserve">Termination benefits </w:t>
            </w:r>
          </w:p>
        </w:tc>
        <w:tc>
          <w:tcPr>
            <w:cnfStyle w:val="000001000000" w:firstRow="0" w:lastRow="0" w:firstColumn="0" w:lastColumn="0" w:oddVBand="0" w:evenVBand="1" w:oddHBand="0" w:evenHBand="0" w:firstRowFirstColumn="0" w:firstRowLastColumn="0" w:lastRowFirstColumn="0" w:lastRowLastColumn="0"/>
            <w:tcW w:w="1407" w:type="dxa"/>
          </w:tcPr>
          <w:p w14:paraId="600D6C40" w14:textId="77777777" w:rsidR="005D72AE" w:rsidRPr="00844A25" w:rsidRDefault="005D72AE" w:rsidP="00FA2A1A">
            <w:pPr>
              <w:rPr>
                <w:lang w:val="en-US"/>
              </w:rPr>
            </w:pPr>
            <w:r w:rsidRPr="00844A25">
              <w:rPr>
                <w:lang w:val="en-US"/>
              </w:rPr>
              <w:t>40,132</w:t>
            </w:r>
          </w:p>
        </w:tc>
        <w:tc>
          <w:tcPr>
            <w:cnfStyle w:val="000010000000" w:firstRow="0" w:lastRow="0" w:firstColumn="0" w:lastColumn="0" w:oddVBand="1" w:evenVBand="0" w:oddHBand="0" w:evenHBand="0" w:firstRowFirstColumn="0" w:firstRowLastColumn="0" w:lastRowFirstColumn="0" w:lastRowLastColumn="0"/>
            <w:tcW w:w="1407" w:type="dxa"/>
          </w:tcPr>
          <w:p w14:paraId="7DFEC330" w14:textId="77777777" w:rsidR="005D72AE" w:rsidRPr="00844A25" w:rsidRDefault="005D72AE" w:rsidP="00FA2A1A">
            <w:pPr>
              <w:rPr>
                <w:lang w:val="en-US"/>
              </w:rPr>
            </w:pPr>
            <w:r w:rsidRPr="00844A25">
              <w:rPr>
                <w:lang w:val="en-US"/>
              </w:rPr>
              <w:t>214,735</w:t>
            </w:r>
          </w:p>
        </w:tc>
      </w:tr>
      <w:tr w:rsidR="005D72AE" w:rsidRPr="00844A25" w14:paraId="770480E6" w14:textId="77777777" w:rsidTr="00FA2A1A">
        <w:trPr>
          <w:trHeight w:val="286"/>
        </w:trPr>
        <w:tc>
          <w:tcPr>
            <w:cnfStyle w:val="000010000000" w:firstRow="0" w:lastRow="0" w:firstColumn="0" w:lastColumn="0" w:oddVBand="1" w:evenVBand="0" w:oddHBand="0" w:evenHBand="0" w:firstRowFirstColumn="0" w:firstRowLastColumn="0" w:lastRowFirstColumn="0" w:lastRowLastColumn="0"/>
            <w:tcW w:w="6365" w:type="dxa"/>
          </w:tcPr>
          <w:p w14:paraId="72E174C0" w14:textId="77777777" w:rsidR="005D72AE" w:rsidRPr="00C33F05" w:rsidRDefault="005D72AE" w:rsidP="00FA2A1A">
            <w:pPr>
              <w:rPr>
                <w:b/>
                <w:bCs/>
                <w:lang w:val="en-US"/>
              </w:rPr>
            </w:pPr>
            <w:r w:rsidRPr="00C33F05">
              <w:rPr>
                <w:b/>
                <w:bCs/>
                <w:lang w:val="en-US"/>
              </w:rPr>
              <w:t>Total remuneration</w:t>
            </w:r>
          </w:p>
        </w:tc>
        <w:tc>
          <w:tcPr>
            <w:cnfStyle w:val="000001000000" w:firstRow="0" w:lastRow="0" w:firstColumn="0" w:lastColumn="0" w:oddVBand="0" w:evenVBand="1" w:oddHBand="0" w:evenHBand="0" w:firstRowFirstColumn="0" w:firstRowLastColumn="0" w:lastRowFirstColumn="0" w:lastRowLastColumn="0"/>
            <w:tcW w:w="1407" w:type="dxa"/>
          </w:tcPr>
          <w:p w14:paraId="4E48E0BC" w14:textId="77777777" w:rsidR="005D72AE" w:rsidRPr="00C33F05" w:rsidRDefault="005D72AE" w:rsidP="00FA2A1A">
            <w:pPr>
              <w:rPr>
                <w:b/>
                <w:bCs/>
                <w:lang w:val="en-US"/>
              </w:rPr>
            </w:pPr>
            <w:r w:rsidRPr="00C33F05">
              <w:rPr>
                <w:b/>
                <w:bCs/>
                <w:lang w:val="en-US"/>
              </w:rPr>
              <w:t>997,125</w:t>
            </w:r>
          </w:p>
        </w:tc>
        <w:tc>
          <w:tcPr>
            <w:cnfStyle w:val="000010000000" w:firstRow="0" w:lastRow="0" w:firstColumn="0" w:lastColumn="0" w:oddVBand="1" w:evenVBand="0" w:oddHBand="0" w:evenHBand="0" w:firstRowFirstColumn="0" w:firstRowLastColumn="0" w:lastRowFirstColumn="0" w:lastRowLastColumn="0"/>
            <w:tcW w:w="1407" w:type="dxa"/>
          </w:tcPr>
          <w:p w14:paraId="5CE27738" w14:textId="77777777" w:rsidR="005D72AE" w:rsidRPr="00C33F05" w:rsidRDefault="005D72AE" w:rsidP="00FA2A1A">
            <w:pPr>
              <w:rPr>
                <w:b/>
                <w:bCs/>
                <w:lang w:val="en-US"/>
              </w:rPr>
            </w:pPr>
            <w:r w:rsidRPr="00C33F05">
              <w:rPr>
                <w:b/>
                <w:bCs/>
                <w:lang w:val="en-US"/>
              </w:rPr>
              <w:t>1,229,422</w:t>
            </w:r>
          </w:p>
        </w:tc>
      </w:tr>
      <w:tr w:rsidR="005D72AE" w:rsidRPr="00844A25" w14:paraId="561A4EF8" w14:textId="77777777" w:rsidTr="00FA2A1A">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6365" w:type="dxa"/>
          </w:tcPr>
          <w:p w14:paraId="02D1E46E" w14:textId="77777777" w:rsidR="005D72AE" w:rsidRPr="00C33F05" w:rsidRDefault="005D72AE" w:rsidP="00FA2A1A">
            <w:pPr>
              <w:rPr>
                <w:b/>
                <w:bCs/>
                <w:lang w:val="en-US"/>
              </w:rPr>
            </w:pPr>
            <w:r w:rsidRPr="00C33F05">
              <w:rPr>
                <w:b/>
                <w:bCs/>
                <w:lang w:val="en-US"/>
              </w:rPr>
              <w:t xml:space="preserve">Total number of executives </w:t>
            </w:r>
          </w:p>
        </w:tc>
        <w:tc>
          <w:tcPr>
            <w:cnfStyle w:val="000001000000" w:firstRow="0" w:lastRow="0" w:firstColumn="0" w:lastColumn="0" w:oddVBand="0" w:evenVBand="1" w:oddHBand="0" w:evenHBand="0" w:firstRowFirstColumn="0" w:firstRowLastColumn="0" w:lastRowFirstColumn="0" w:lastRowLastColumn="0"/>
            <w:tcW w:w="1407" w:type="dxa"/>
          </w:tcPr>
          <w:p w14:paraId="49350097" w14:textId="77777777" w:rsidR="005D72AE" w:rsidRPr="00C33F05" w:rsidRDefault="005D72AE" w:rsidP="00FA2A1A">
            <w:pPr>
              <w:rPr>
                <w:b/>
                <w:bCs/>
                <w:lang w:val="en-US"/>
              </w:rPr>
            </w:pPr>
            <w:r w:rsidRPr="00C33F05">
              <w:rPr>
                <w:b/>
                <w:bCs/>
                <w:lang w:val="en-US"/>
              </w:rPr>
              <w:t>5</w:t>
            </w:r>
          </w:p>
        </w:tc>
        <w:tc>
          <w:tcPr>
            <w:cnfStyle w:val="000010000000" w:firstRow="0" w:lastRow="0" w:firstColumn="0" w:lastColumn="0" w:oddVBand="1" w:evenVBand="0" w:oddHBand="0" w:evenHBand="0" w:firstRowFirstColumn="0" w:firstRowLastColumn="0" w:lastRowFirstColumn="0" w:lastRowLastColumn="0"/>
            <w:tcW w:w="1407" w:type="dxa"/>
          </w:tcPr>
          <w:p w14:paraId="11647647" w14:textId="77777777" w:rsidR="005D72AE" w:rsidRPr="00C33F05" w:rsidRDefault="005D72AE" w:rsidP="00FA2A1A">
            <w:pPr>
              <w:rPr>
                <w:b/>
                <w:bCs/>
                <w:lang w:val="en-US"/>
              </w:rPr>
            </w:pPr>
            <w:r w:rsidRPr="00C33F05">
              <w:rPr>
                <w:b/>
                <w:bCs/>
                <w:lang w:val="en-US"/>
              </w:rPr>
              <w:t>7</w:t>
            </w:r>
          </w:p>
        </w:tc>
      </w:tr>
      <w:tr w:rsidR="005D72AE" w:rsidRPr="00844A25" w14:paraId="1BC91E99" w14:textId="77777777" w:rsidTr="00FA2A1A">
        <w:trPr>
          <w:trHeight w:val="286"/>
        </w:trPr>
        <w:tc>
          <w:tcPr>
            <w:cnfStyle w:val="000010000000" w:firstRow="0" w:lastRow="0" w:firstColumn="0" w:lastColumn="0" w:oddVBand="1" w:evenVBand="0" w:oddHBand="0" w:evenHBand="0" w:firstRowFirstColumn="0" w:firstRowLastColumn="0" w:lastRowFirstColumn="0" w:lastRowLastColumn="0"/>
            <w:tcW w:w="6365" w:type="dxa"/>
          </w:tcPr>
          <w:p w14:paraId="4A545D61" w14:textId="77777777" w:rsidR="005D72AE" w:rsidRPr="00C33F05" w:rsidRDefault="005D72AE" w:rsidP="00FA2A1A">
            <w:pPr>
              <w:rPr>
                <w:b/>
                <w:bCs/>
                <w:lang w:val="en-US"/>
              </w:rPr>
            </w:pPr>
            <w:r w:rsidRPr="00C33F05">
              <w:rPr>
                <w:b/>
                <w:bCs/>
                <w:lang w:val="en-US"/>
              </w:rPr>
              <w:t>Total annualised employee equivalents</w:t>
            </w:r>
            <w:r w:rsidRPr="00C33F05">
              <w:rPr>
                <w:b/>
                <w:bCs/>
                <w:vertAlign w:val="superscript"/>
                <w:lang w:val="en-US"/>
              </w:rPr>
              <w:t>(a)</w:t>
            </w:r>
          </w:p>
        </w:tc>
        <w:tc>
          <w:tcPr>
            <w:cnfStyle w:val="000001000000" w:firstRow="0" w:lastRow="0" w:firstColumn="0" w:lastColumn="0" w:oddVBand="0" w:evenVBand="1" w:oddHBand="0" w:evenHBand="0" w:firstRowFirstColumn="0" w:firstRowLastColumn="0" w:lastRowFirstColumn="0" w:lastRowLastColumn="0"/>
            <w:tcW w:w="1407" w:type="dxa"/>
          </w:tcPr>
          <w:p w14:paraId="218F318D" w14:textId="77777777" w:rsidR="005D72AE" w:rsidRPr="00C33F05" w:rsidRDefault="005D72AE" w:rsidP="00FA2A1A">
            <w:pPr>
              <w:rPr>
                <w:b/>
                <w:bCs/>
                <w:lang w:val="en-US"/>
              </w:rPr>
            </w:pPr>
            <w:r w:rsidRPr="00C33F05">
              <w:rPr>
                <w:b/>
                <w:bCs/>
                <w:lang w:val="en-US"/>
              </w:rPr>
              <w:t>3.65</w:t>
            </w:r>
          </w:p>
        </w:tc>
        <w:tc>
          <w:tcPr>
            <w:cnfStyle w:val="000010000000" w:firstRow="0" w:lastRow="0" w:firstColumn="0" w:lastColumn="0" w:oddVBand="1" w:evenVBand="0" w:oddHBand="0" w:evenHBand="0" w:firstRowFirstColumn="0" w:firstRowLastColumn="0" w:lastRowFirstColumn="0" w:lastRowLastColumn="0"/>
            <w:tcW w:w="1407" w:type="dxa"/>
          </w:tcPr>
          <w:p w14:paraId="0D6CA380" w14:textId="77777777" w:rsidR="005D72AE" w:rsidRPr="00C33F05" w:rsidRDefault="005D72AE" w:rsidP="00FA2A1A">
            <w:pPr>
              <w:rPr>
                <w:b/>
                <w:bCs/>
                <w:lang w:val="en-US"/>
              </w:rPr>
            </w:pPr>
            <w:r w:rsidRPr="00C33F05">
              <w:rPr>
                <w:b/>
                <w:bCs/>
                <w:lang w:val="en-US"/>
              </w:rPr>
              <w:t>4.42</w:t>
            </w:r>
          </w:p>
        </w:tc>
      </w:tr>
    </w:tbl>
    <w:p w14:paraId="0DA796CC" w14:textId="77777777" w:rsidR="005D72AE" w:rsidRPr="00844A25" w:rsidRDefault="005D72AE" w:rsidP="005D72AE">
      <w:pPr>
        <w:rPr>
          <w:lang w:val="en-US"/>
        </w:rPr>
      </w:pPr>
      <w:r w:rsidRPr="00844A25">
        <w:rPr>
          <w:i/>
          <w:iCs/>
          <w:lang w:val="en-US"/>
        </w:rPr>
        <w:t>(a)</w:t>
      </w:r>
      <w:r>
        <w:rPr>
          <w:i/>
          <w:iCs/>
          <w:lang w:val="en-US"/>
        </w:rPr>
        <w:t xml:space="preserve"> </w:t>
      </w:r>
      <w:r w:rsidRPr="00844A25">
        <w:rPr>
          <w:i/>
          <w:iCs/>
          <w:lang w:val="en-US"/>
        </w:rPr>
        <w:t>Annualised employee equivalent is based on the time fraction worked over the reporting period.</w:t>
      </w:r>
    </w:p>
    <w:p w14:paraId="7150C0F6" w14:textId="77777777" w:rsidR="005D72AE" w:rsidRPr="00844A25" w:rsidRDefault="005D72AE" w:rsidP="005D72AE">
      <w:pPr>
        <w:pStyle w:val="Heading3"/>
      </w:pPr>
      <w:r w:rsidRPr="00844A25">
        <w:lastRenderedPageBreak/>
        <w:t>9.5. Related parties</w:t>
      </w:r>
    </w:p>
    <w:p w14:paraId="420787B1" w14:textId="77777777" w:rsidR="005D72AE" w:rsidRPr="00844A25" w:rsidRDefault="005D72AE" w:rsidP="005D72AE">
      <w:pPr>
        <w:rPr>
          <w:lang w:val="en-US"/>
        </w:rPr>
      </w:pPr>
      <w:r w:rsidRPr="00844A25">
        <w:rPr>
          <w:lang w:val="en-US"/>
        </w:rPr>
        <w:t>The commission is a wholly owned and controlled entity of the State of Victoria. Related parties</w:t>
      </w:r>
      <w:r>
        <w:rPr>
          <w:lang w:val="en-US"/>
        </w:rPr>
        <w:t xml:space="preserve"> </w:t>
      </w:r>
      <w:r w:rsidRPr="00844A25">
        <w:rPr>
          <w:lang w:val="en-US"/>
        </w:rPr>
        <w:t>of the commission include:</w:t>
      </w:r>
    </w:p>
    <w:p w14:paraId="35ED618D" w14:textId="77777777" w:rsidR="005D72AE" w:rsidRPr="00844A25" w:rsidRDefault="005D72AE" w:rsidP="005D72AE">
      <w:pPr>
        <w:pStyle w:val="ListBullet"/>
        <w:numPr>
          <w:ilvl w:val="0"/>
          <w:numId w:val="1"/>
        </w:numPr>
        <w:spacing w:before="0" w:after="180"/>
        <w:rPr>
          <w:lang w:val="en-US"/>
        </w:rPr>
      </w:pPr>
      <w:r w:rsidRPr="00844A25">
        <w:rPr>
          <w:lang w:val="en-US"/>
        </w:rPr>
        <w:t>all key management personnel and their close family members</w:t>
      </w:r>
    </w:p>
    <w:p w14:paraId="6EC4264D" w14:textId="77777777" w:rsidR="005D72AE" w:rsidRPr="00844A25" w:rsidRDefault="005D72AE" w:rsidP="005D72AE">
      <w:pPr>
        <w:pStyle w:val="ListBullet"/>
        <w:numPr>
          <w:ilvl w:val="0"/>
          <w:numId w:val="1"/>
        </w:numPr>
        <w:spacing w:before="0" w:after="180"/>
        <w:rPr>
          <w:lang w:val="en-US"/>
        </w:rPr>
      </w:pPr>
      <w:r w:rsidRPr="00844A25">
        <w:rPr>
          <w:lang w:val="en-US"/>
        </w:rPr>
        <w:t>all cabinet ministers and their close family members; and</w:t>
      </w:r>
    </w:p>
    <w:p w14:paraId="75FE4E22" w14:textId="77777777" w:rsidR="005D72AE" w:rsidRPr="00844A25" w:rsidRDefault="005D72AE" w:rsidP="005D72AE">
      <w:pPr>
        <w:pStyle w:val="ListBullet"/>
        <w:numPr>
          <w:ilvl w:val="0"/>
          <w:numId w:val="1"/>
        </w:numPr>
        <w:spacing w:before="0" w:after="180"/>
        <w:rPr>
          <w:lang w:val="en-US"/>
        </w:rPr>
      </w:pPr>
      <w:r w:rsidRPr="00844A25">
        <w:rPr>
          <w:lang w:val="en-US"/>
        </w:rPr>
        <w:t>all departments and public sector entities that are controlled and consolidated into the whole</w:t>
      </w:r>
      <w:r>
        <w:rPr>
          <w:lang w:val="en-US"/>
        </w:rPr>
        <w:t xml:space="preserve"> </w:t>
      </w:r>
      <w:r w:rsidRPr="00844A25">
        <w:rPr>
          <w:lang w:val="en-US"/>
        </w:rPr>
        <w:t>of state consolidated financial statements.</w:t>
      </w:r>
    </w:p>
    <w:p w14:paraId="3808596D" w14:textId="77777777" w:rsidR="005D72AE" w:rsidRPr="00844A25" w:rsidRDefault="005D72AE" w:rsidP="005D72AE">
      <w:pPr>
        <w:rPr>
          <w:lang w:val="en-US"/>
        </w:rPr>
      </w:pPr>
      <w:r w:rsidRPr="00844A25">
        <w:rPr>
          <w:lang w:val="en-US"/>
        </w:rPr>
        <w:t>All related party transactions have been entered into on an arm’s length basis.</w:t>
      </w:r>
    </w:p>
    <w:p w14:paraId="335B73CE" w14:textId="77777777" w:rsidR="005D72AE" w:rsidRPr="00844A25" w:rsidRDefault="005D72AE" w:rsidP="005D72AE">
      <w:pPr>
        <w:pStyle w:val="Heading4"/>
      </w:pPr>
      <w:r w:rsidRPr="00844A25">
        <w:t>Significant transactions with government-related entities</w:t>
      </w:r>
    </w:p>
    <w:p w14:paraId="56766B12" w14:textId="77777777" w:rsidR="005D72AE" w:rsidRPr="00844A25" w:rsidRDefault="005D72AE" w:rsidP="005D72AE">
      <w:pPr>
        <w:rPr>
          <w:lang w:val="en-US"/>
        </w:rPr>
      </w:pPr>
      <w:r w:rsidRPr="00844A25">
        <w:rPr>
          <w:lang w:val="en-US"/>
        </w:rPr>
        <w:t>Significant transactions entered into by the commission during 2019–20 are disclosed in relevant notes</w:t>
      </w:r>
      <w:r>
        <w:rPr>
          <w:lang w:val="en-US"/>
        </w:rPr>
        <w:t xml:space="preserve"> </w:t>
      </w:r>
      <w:r w:rsidRPr="00844A25">
        <w:rPr>
          <w:lang w:val="en-US"/>
        </w:rPr>
        <w:t>as detailed below:</w:t>
      </w:r>
    </w:p>
    <w:p w14:paraId="17F66516" w14:textId="77777777" w:rsidR="005D72AE" w:rsidRPr="00844A25" w:rsidRDefault="005D72AE" w:rsidP="005D72AE">
      <w:pPr>
        <w:pStyle w:val="ListBullet"/>
        <w:numPr>
          <w:ilvl w:val="0"/>
          <w:numId w:val="1"/>
        </w:numPr>
        <w:spacing w:before="0" w:after="180"/>
        <w:rPr>
          <w:lang w:val="en-US"/>
        </w:rPr>
      </w:pPr>
      <w:r w:rsidRPr="00844A25">
        <w:rPr>
          <w:lang w:val="en-US"/>
        </w:rPr>
        <w:t xml:space="preserve">the commission received grant funding from DTF which is disclosed in Note 2; and </w:t>
      </w:r>
    </w:p>
    <w:p w14:paraId="6290C4C6" w14:textId="77777777" w:rsidR="005D72AE" w:rsidRPr="00844A25" w:rsidRDefault="005D72AE" w:rsidP="005D72AE">
      <w:pPr>
        <w:pStyle w:val="ListBullet"/>
        <w:numPr>
          <w:ilvl w:val="0"/>
          <w:numId w:val="1"/>
        </w:numPr>
        <w:spacing w:before="0" w:after="180"/>
        <w:rPr>
          <w:lang w:val="en-US"/>
        </w:rPr>
      </w:pPr>
      <w:r w:rsidRPr="00844A25">
        <w:rPr>
          <w:lang w:val="en-US"/>
        </w:rPr>
        <w:t>the commission on behalf of the Victorian Government collected licence fees from Victorian water businesses $3,705,544 (2018–19 - $2,481,353). This is included as part of the total administered income balance disclosed in Note 4.</w:t>
      </w:r>
    </w:p>
    <w:p w14:paraId="66D9BA37" w14:textId="77777777" w:rsidR="005D72AE" w:rsidRPr="00844A25" w:rsidRDefault="005D72AE" w:rsidP="005D72AE">
      <w:pPr>
        <w:pStyle w:val="Heading4"/>
      </w:pPr>
      <w:r w:rsidRPr="00844A25">
        <w:t>Key Management Personnel</w:t>
      </w:r>
    </w:p>
    <w:p w14:paraId="49C9CB76" w14:textId="77777777" w:rsidR="005D72AE" w:rsidRPr="00844A25" w:rsidRDefault="005D72AE" w:rsidP="005D72AE">
      <w:pPr>
        <w:rPr>
          <w:lang w:val="en-US"/>
        </w:rPr>
      </w:pPr>
      <w:r w:rsidRPr="00844A25">
        <w:rPr>
          <w:lang w:val="en-US"/>
        </w:rPr>
        <w:t>Key management personnel (KMP) of the commission include the Portfolio Minister, the Hon. Robin Scott MP (until 15 June 2020) and Mr Danny Pearson, MP (from 22 June 2020), and the Commissioners and Chief Executive Officer, which includes:</w:t>
      </w:r>
    </w:p>
    <w:p w14:paraId="5D8F54E4" w14:textId="77777777" w:rsidR="005D72AE" w:rsidRPr="00844A25" w:rsidRDefault="005D72AE" w:rsidP="005D72AE">
      <w:pPr>
        <w:pStyle w:val="ListBullet"/>
        <w:numPr>
          <w:ilvl w:val="0"/>
          <w:numId w:val="1"/>
        </w:numPr>
        <w:spacing w:before="0" w:after="180"/>
        <w:rPr>
          <w:lang w:val="en-US"/>
        </w:rPr>
      </w:pPr>
      <w:r w:rsidRPr="00844A25">
        <w:rPr>
          <w:lang w:val="en-US"/>
        </w:rPr>
        <w:t>Chairperson and Commissioner Kate Symons</w:t>
      </w:r>
    </w:p>
    <w:p w14:paraId="5EB8A5AA" w14:textId="77777777" w:rsidR="005D72AE" w:rsidRPr="00844A25" w:rsidRDefault="005D72AE" w:rsidP="005D72AE">
      <w:pPr>
        <w:pStyle w:val="ListBullet"/>
        <w:numPr>
          <w:ilvl w:val="0"/>
          <w:numId w:val="1"/>
        </w:numPr>
        <w:spacing w:before="0" w:after="180"/>
        <w:rPr>
          <w:lang w:val="en-US"/>
        </w:rPr>
      </w:pPr>
      <w:r w:rsidRPr="00844A25">
        <w:rPr>
          <w:lang w:val="en-US"/>
        </w:rPr>
        <w:t>Commissioner Simon Corden</w:t>
      </w:r>
    </w:p>
    <w:p w14:paraId="6CB847BE" w14:textId="77777777" w:rsidR="005D72AE" w:rsidRPr="00844A25" w:rsidRDefault="005D72AE" w:rsidP="005D72AE">
      <w:pPr>
        <w:pStyle w:val="ListBullet"/>
        <w:numPr>
          <w:ilvl w:val="0"/>
          <w:numId w:val="1"/>
        </w:numPr>
        <w:spacing w:before="0" w:after="180"/>
        <w:rPr>
          <w:lang w:val="en-US"/>
        </w:rPr>
      </w:pPr>
      <w:r w:rsidRPr="00844A25">
        <w:rPr>
          <w:lang w:val="en-US"/>
        </w:rPr>
        <w:t>Commissioner (17 September 2019 to 30 June 2020) Sitesh Bhojani</w:t>
      </w:r>
    </w:p>
    <w:p w14:paraId="74A52DD2" w14:textId="77777777" w:rsidR="005D72AE" w:rsidRPr="00844A25" w:rsidRDefault="005D72AE" w:rsidP="005D72AE">
      <w:pPr>
        <w:pStyle w:val="ListBullet"/>
        <w:numPr>
          <w:ilvl w:val="0"/>
          <w:numId w:val="1"/>
        </w:numPr>
        <w:spacing w:before="0" w:after="180"/>
        <w:rPr>
          <w:lang w:val="en-US"/>
        </w:rPr>
      </w:pPr>
      <w:r w:rsidRPr="00844A25">
        <w:rPr>
          <w:lang w:val="en-US"/>
        </w:rPr>
        <w:t>Commissioner (10 March 2020 to 30 June 2020) Rebecca Billings; and</w:t>
      </w:r>
    </w:p>
    <w:p w14:paraId="7FDBBD68" w14:textId="77777777" w:rsidR="005D72AE" w:rsidRPr="00844A25" w:rsidRDefault="005D72AE" w:rsidP="005D72AE">
      <w:pPr>
        <w:pStyle w:val="ListBullet"/>
        <w:numPr>
          <w:ilvl w:val="0"/>
          <w:numId w:val="1"/>
        </w:numPr>
        <w:spacing w:before="0" w:after="180"/>
        <w:rPr>
          <w:lang w:val="en-US"/>
        </w:rPr>
      </w:pPr>
      <w:r w:rsidRPr="00844A25">
        <w:rPr>
          <w:lang w:val="en-US"/>
        </w:rPr>
        <w:t>Chief Executive Officer, Dr John Hamill.</w:t>
      </w:r>
    </w:p>
    <w:p w14:paraId="2BFE432E" w14:textId="77777777" w:rsidR="005D72AE" w:rsidRPr="00844A25" w:rsidRDefault="005D72AE" w:rsidP="005D72AE">
      <w:pPr>
        <w:rPr>
          <w:lang w:val="en-US"/>
        </w:rPr>
      </w:pPr>
      <w:r w:rsidRPr="00844A25">
        <w:rPr>
          <w:lang w:val="en-US"/>
        </w:rPr>
        <w:t xml:space="preserve">The compensation detailed below excludes the salary and benefit the Portfolio Minister receives. The Minister’s remuneration and allowance, set by the </w:t>
      </w:r>
      <w:r w:rsidRPr="00844A25">
        <w:rPr>
          <w:i/>
          <w:iCs/>
          <w:lang w:val="en-US"/>
        </w:rPr>
        <w:t>Parliamentary Salaries and Superannuation Act 1968</w:t>
      </w:r>
      <w:r w:rsidRPr="00844A25">
        <w:rPr>
          <w:lang w:val="en-US"/>
        </w:rPr>
        <w:t>,</w:t>
      </w:r>
      <w:r>
        <w:rPr>
          <w:lang w:val="en-US"/>
        </w:rPr>
        <w:t xml:space="preserve"> </w:t>
      </w:r>
      <w:r w:rsidRPr="00844A25">
        <w:rPr>
          <w:lang w:val="en-US"/>
        </w:rPr>
        <w:t>are reported within the Department of Parliamentary Services’ Financial Report.</w:t>
      </w:r>
    </w:p>
    <w:tbl>
      <w:tblPr>
        <w:tblStyle w:val="PlainTable2"/>
        <w:tblW w:w="9162" w:type="dxa"/>
        <w:tblLayout w:type="fixed"/>
        <w:tblLook w:val="0000" w:firstRow="0" w:lastRow="0" w:firstColumn="0" w:lastColumn="0" w:noHBand="0" w:noVBand="0"/>
      </w:tblPr>
      <w:tblGrid>
        <w:gridCol w:w="6442"/>
        <w:gridCol w:w="1358"/>
        <w:gridCol w:w="1362"/>
      </w:tblGrid>
      <w:tr w:rsidR="005D72AE" w:rsidRPr="00844A25" w14:paraId="4A388B4C" w14:textId="77777777" w:rsidTr="00FA2A1A">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6442" w:type="dxa"/>
          </w:tcPr>
          <w:p w14:paraId="5464140D" w14:textId="77777777" w:rsidR="005D72AE" w:rsidRPr="00397674" w:rsidRDefault="005D72AE" w:rsidP="00FA2A1A">
            <w:pPr>
              <w:rPr>
                <w:b/>
                <w:bCs/>
                <w:lang w:val="en-US"/>
              </w:rPr>
            </w:pPr>
            <w:r w:rsidRPr="00397674">
              <w:rPr>
                <w:b/>
                <w:bCs/>
                <w:lang w:val="en-US"/>
              </w:rPr>
              <w:t>Compensation of KMPs</w:t>
            </w:r>
          </w:p>
        </w:tc>
        <w:tc>
          <w:tcPr>
            <w:cnfStyle w:val="000001000000" w:firstRow="0" w:lastRow="0" w:firstColumn="0" w:lastColumn="0" w:oddVBand="0" w:evenVBand="1" w:oddHBand="0" w:evenHBand="0" w:firstRowFirstColumn="0" w:firstRowLastColumn="0" w:lastRowFirstColumn="0" w:lastRowLastColumn="0"/>
            <w:tcW w:w="1358" w:type="dxa"/>
            <w:shd w:val="clear" w:color="auto" w:fill="F2F2F2" w:themeFill="background1" w:themeFillShade="F2"/>
          </w:tcPr>
          <w:p w14:paraId="1E62167C" w14:textId="77777777" w:rsidR="005D72AE" w:rsidRPr="00397674" w:rsidRDefault="005D72AE" w:rsidP="00FA2A1A">
            <w:pPr>
              <w:rPr>
                <w:b/>
                <w:bCs/>
                <w:lang w:val="en-US"/>
              </w:rPr>
            </w:pPr>
            <w:r w:rsidRPr="00397674">
              <w:rPr>
                <w:b/>
                <w:bCs/>
                <w:lang w:val="en-US"/>
              </w:rPr>
              <w:t>2020</w:t>
            </w:r>
          </w:p>
        </w:tc>
        <w:tc>
          <w:tcPr>
            <w:cnfStyle w:val="000010000000" w:firstRow="0" w:lastRow="0" w:firstColumn="0" w:lastColumn="0" w:oddVBand="1" w:evenVBand="0" w:oddHBand="0" w:evenHBand="0" w:firstRowFirstColumn="0" w:firstRowLastColumn="0" w:lastRowFirstColumn="0" w:lastRowLastColumn="0"/>
            <w:tcW w:w="1362" w:type="dxa"/>
          </w:tcPr>
          <w:p w14:paraId="34054BC5" w14:textId="77777777" w:rsidR="005D72AE" w:rsidRPr="00397674" w:rsidRDefault="005D72AE" w:rsidP="00FA2A1A">
            <w:pPr>
              <w:rPr>
                <w:b/>
                <w:bCs/>
                <w:lang w:val="en-US"/>
              </w:rPr>
            </w:pPr>
            <w:r w:rsidRPr="00397674">
              <w:rPr>
                <w:b/>
                <w:bCs/>
                <w:lang w:val="en-US"/>
              </w:rPr>
              <w:t>2019</w:t>
            </w:r>
          </w:p>
        </w:tc>
      </w:tr>
      <w:tr w:rsidR="005D72AE" w:rsidRPr="00844A25" w14:paraId="2718B241" w14:textId="77777777" w:rsidTr="00FA2A1A">
        <w:trPr>
          <w:trHeight w:val="286"/>
        </w:trPr>
        <w:tc>
          <w:tcPr>
            <w:cnfStyle w:val="000010000000" w:firstRow="0" w:lastRow="0" w:firstColumn="0" w:lastColumn="0" w:oddVBand="1" w:evenVBand="0" w:oddHBand="0" w:evenHBand="0" w:firstRowFirstColumn="0" w:firstRowLastColumn="0" w:lastRowFirstColumn="0" w:lastRowLastColumn="0"/>
            <w:tcW w:w="6442" w:type="dxa"/>
          </w:tcPr>
          <w:p w14:paraId="7644CE6E" w14:textId="77777777" w:rsidR="005D72AE" w:rsidRPr="00397674" w:rsidRDefault="005D72AE" w:rsidP="00FA2A1A">
            <w:pPr>
              <w:rPr>
                <w:b/>
                <w:bCs/>
                <w:lang w:val="en-GB"/>
              </w:rPr>
            </w:pPr>
          </w:p>
        </w:tc>
        <w:tc>
          <w:tcPr>
            <w:cnfStyle w:val="000001000000" w:firstRow="0" w:lastRow="0" w:firstColumn="0" w:lastColumn="0" w:oddVBand="0" w:evenVBand="1" w:oddHBand="0" w:evenHBand="0" w:firstRowFirstColumn="0" w:firstRowLastColumn="0" w:lastRowFirstColumn="0" w:lastRowLastColumn="0"/>
            <w:tcW w:w="1358" w:type="dxa"/>
            <w:shd w:val="clear" w:color="auto" w:fill="F2F2F2" w:themeFill="background1" w:themeFillShade="F2"/>
          </w:tcPr>
          <w:p w14:paraId="48B03A69" w14:textId="77777777" w:rsidR="005D72AE" w:rsidRPr="00397674" w:rsidRDefault="005D72AE" w:rsidP="00FA2A1A">
            <w:pPr>
              <w:rPr>
                <w:b/>
                <w:bCs/>
                <w:lang w:val="en-US"/>
              </w:rPr>
            </w:pPr>
            <w:r w:rsidRPr="00397674">
              <w:rPr>
                <w:b/>
                <w:bCs/>
                <w:lang w:val="en-US"/>
              </w:rPr>
              <w:t>$</w:t>
            </w:r>
          </w:p>
        </w:tc>
        <w:tc>
          <w:tcPr>
            <w:cnfStyle w:val="000010000000" w:firstRow="0" w:lastRow="0" w:firstColumn="0" w:lastColumn="0" w:oddVBand="1" w:evenVBand="0" w:oddHBand="0" w:evenHBand="0" w:firstRowFirstColumn="0" w:firstRowLastColumn="0" w:lastRowFirstColumn="0" w:lastRowLastColumn="0"/>
            <w:tcW w:w="1362" w:type="dxa"/>
          </w:tcPr>
          <w:p w14:paraId="2BBDB014" w14:textId="77777777" w:rsidR="005D72AE" w:rsidRPr="00397674" w:rsidRDefault="005D72AE" w:rsidP="00FA2A1A">
            <w:pPr>
              <w:rPr>
                <w:b/>
                <w:bCs/>
                <w:lang w:val="en-US"/>
              </w:rPr>
            </w:pPr>
            <w:r w:rsidRPr="00397674">
              <w:rPr>
                <w:b/>
                <w:bCs/>
                <w:lang w:val="en-US"/>
              </w:rPr>
              <w:t>$</w:t>
            </w:r>
          </w:p>
        </w:tc>
      </w:tr>
      <w:tr w:rsidR="005D72AE" w:rsidRPr="00844A25" w14:paraId="57B9C332" w14:textId="77777777" w:rsidTr="00FA2A1A">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6442" w:type="dxa"/>
          </w:tcPr>
          <w:p w14:paraId="797B29EC" w14:textId="77777777" w:rsidR="005D72AE" w:rsidRPr="00844A25" w:rsidRDefault="005D72AE" w:rsidP="00FA2A1A">
            <w:pPr>
              <w:rPr>
                <w:lang w:val="en-US"/>
              </w:rPr>
            </w:pPr>
            <w:r w:rsidRPr="00844A25">
              <w:rPr>
                <w:lang w:val="en-US"/>
              </w:rPr>
              <w:t>Short-term employee benefits</w:t>
            </w:r>
          </w:p>
        </w:tc>
        <w:tc>
          <w:tcPr>
            <w:cnfStyle w:val="000001000000" w:firstRow="0" w:lastRow="0" w:firstColumn="0" w:lastColumn="0" w:oddVBand="0" w:evenVBand="1" w:oddHBand="0" w:evenHBand="0" w:firstRowFirstColumn="0" w:firstRowLastColumn="0" w:lastRowFirstColumn="0" w:lastRowLastColumn="0"/>
            <w:tcW w:w="1358" w:type="dxa"/>
            <w:shd w:val="clear" w:color="auto" w:fill="F2F2F2" w:themeFill="background1" w:themeFillShade="F2"/>
          </w:tcPr>
          <w:p w14:paraId="0504396D" w14:textId="77777777" w:rsidR="005D72AE" w:rsidRPr="00844A25" w:rsidRDefault="005D72AE" w:rsidP="00FA2A1A">
            <w:pPr>
              <w:rPr>
                <w:lang w:val="en-US"/>
              </w:rPr>
            </w:pPr>
            <w:r w:rsidRPr="00844A25">
              <w:rPr>
                <w:lang w:val="en-US"/>
              </w:rPr>
              <w:t>1,235,431</w:t>
            </w:r>
          </w:p>
        </w:tc>
        <w:tc>
          <w:tcPr>
            <w:cnfStyle w:val="000010000000" w:firstRow="0" w:lastRow="0" w:firstColumn="0" w:lastColumn="0" w:oddVBand="1" w:evenVBand="0" w:oddHBand="0" w:evenHBand="0" w:firstRowFirstColumn="0" w:firstRowLastColumn="0" w:lastRowFirstColumn="0" w:lastRowLastColumn="0"/>
            <w:tcW w:w="1362" w:type="dxa"/>
          </w:tcPr>
          <w:p w14:paraId="0E1BB349" w14:textId="77777777" w:rsidR="005D72AE" w:rsidRPr="00844A25" w:rsidRDefault="005D72AE" w:rsidP="00FA2A1A">
            <w:pPr>
              <w:rPr>
                <w:lang w:val="en-US"/>
              </w:rPr>
            </w:pPr>
            <w:r w:rsidRPr="00844A25">
              <w:rPr>
                <w:lang w:val="en-US"/>
              </w:rPr>
              <w:t>855,774</w:t>
            </w:r>
          </w:p>
        </w:tc>
      </w:tr>
      <w:tr w:rsidR="005D72AE" w:rsidRPr="00844A25" w14:paraId="17053E25" w14:textId="77777777" w:rsidTr="00FA2A1A">
        <w:trPr>
          <w:trHeight w:val="286"/>
        </w:trPr>
        <w:tc>
          <w:tcPr>
            <w:cnfStyle w:val="000010000000" w:firstRow="0" w:lastRow="0" w:firstColumn="0" w:lastColumn="0" w:oddVBand="1" w:evenVBand="0" w:oddHBand="0" w:evenHBand="0" w:firstRowFirstColumn="0" w:firstRowLastColumn="0" w:lastRowFirstColumn="0" w:lastRowLastColumn="0"/>
            <w:tcW w:w="6442" w:type="dxa"/>
          </w:tcPr>
          <w:p w14:paraId="0C82408A" w14:textId="77777777" w:rsidR="005D72AE" w:rsidRPr="00844A25" w:rsidRDefault="005D72AE" w:rsidP="00FA2A1A">
            <w:pPr>
              <w:rPr>
                <w:lang w:val="en-US"/>
              </w:rPr>
            </w:pPr>
            <w:r w:rsidRPr="00844A25">
              <w:rPr>
                <w:lang w:val="en-US"/>
              </w:rPr>
              <w:t xml:space="preserve">Post-employment benefits </w:t>
            </w:r>
          </w:p>
        </w:tc>
        <w:tc>
          <w:tcPr>
            <w:cnfStyle w:val="000001000000" w:firstRow="0" w:lastRow="0" w:firstColumn="0" w:lastColumn="0" w:oddVBand="0" w:evenVBand="1" w:oddHBand="0" w:evenHBand="0" w:firstRowFirstColumn="0" w:firstRowLastColumn="0" w:lastRowFirstColumn="0" w:lastRowLastColumn="0"/>
            <w:tcW w:w="1358" w:type="dxa"/>
            <w:shd w:val="clear" w:color="auto" w:fill="F2F2F2" w:themeFill="background1" w:themeFillShade="F2"/>
          </w:tcPr>
          <w:p w14:paraId="7BF2ACC5" w14:textId="77777777" w:rsidR="005D72AE" w:rsidRPr="00844A25" w:rsidRDefault="005D72AE" w:rsidP="00FA2A1A">
            <w:pPr>
              <w:rPr>
                <w:lang w:val="en-US"/>
              </w:rPr>
            </w:pPr>
            <w:r w:rsidRPr="00844A25">
              <w:rPr>
                <w:lang w:val="en-US"/>
              </w:rPr>
              <w:t>80,622</w:t>
            </w:r>
          </w:p>
        </w:tc>
        <w:tc>
          <w:tcPr>
            <w:cnfStyle w:val="000010000000" w:firstRow="0" w:lastRow="0" w:firstColumn="0" w:lastColumn="0" w:oddVBand="1" w:evenVBand="0" w:oddHBand="0" w:evenHBand="0" w:firstRowFirstColumn="0" w:firstRowLastColumn="0" w:lastRowFirstColumn="0" w:lastRowLastColumn="0"/>
            <w:tcW w:w="1362" w:type="dxa"/>
          </w:tcPr>
          <w:p w14:paraId="27DAFC13" w14:textId="77777777" w:rsidR="005D72AE" w:rsidRPr="00844A25" w:rsidRDefault="005D72AE" w:rsidP="00FA2A1A">
            <w:pPr>
              <w:rPr>
                <w:lang w:val="en-US"/>
              </w:rPr>
            </w:pPr>
            <w:r w:rsidRPr="00844A25">
              <w:rPr>
                <w:lang w:val="en-US"/>
              </w:rPr>
              <w:t>70,888</w:t>
            </w:r>
          </w:p>
        </w:tc>
      </w:tr>
      <w:tr w:rsidR="005D72AE" w:rsidRPr="00844A25" w14:paraId="59943EDD" w14:textId="77777777" w:rsidTr="00FA2A1A">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6442" w:type="dxa"/>
          </w:tcPr>
          <w:p w14:paraId="3F2DD1BB" w14:textId="77777777" w:rsidR="005D72AE" w:rsidRPr="00844A25" w:rsidRDefault="005D72AE" w:rsidP="00FA2A1A">
            <w:pPr>
              <w:rPr>
                <w:lang w:val="en-US"/>
              </w:rPr>
            </w:pPr>
            <w:r w:rsidRPr="00844A25">
              <w:rPr>
                <w:lang w:val="en-US"/>
              </w:rPr>
              <w:t xml:space="preserve">Other long-term benefits </w:t>
            </w:r>
          </w:p>
        </w:tc>
        <w:tc>
          <w:tcPr>
            <w:cnfStyle w:val="000001000000" w:firstRow="0" w:lastRow="0" w:firstColumn="0" w:lastColumn="0" w:oddVBand="0" w:evenVBand="1" w:oddHBand="0" w:evenHBand="0" w:firstRowFirstColumn="0" w:firstRowLastColumn="0" w:lastRowFirstColumn="0" w:lastRowLastColumn="0"/>
            <w:tcW w:w="1358" w:type="dxa"/>
            <w:shd w:val="clear" w:color="auto" w:fill="F2F2F2" w:themeFill="background1" w:themeFillShade="F2"/>
          </w:tcPr>
          <w:p w14:paraId="5BD3C6ED" w14:textId="77777777" w:rsidR="005D72AE" w:rsidRPr="00844A25" w:rsidRDefault="005D72AE" w:rsidP="00FA2A1A">
            <w:pPr>
              <w:rPr>
                <w:lang w:val="en-US"/>
              </w:rPr>
            </w:pPr>
            <w:r w:rsidRPr="00844A25">
              <w:rPr>
                <w:lang w:val="en-US"/>
              </w:rPr>
              <w:t>34,539</w:t>
            </w:r>
          </w:p>
        </w:tc>
        <w:tc>
          <w:tcPr>
            <w:cnfStyle w:val="000010000000" w:firstRow="0" w:lastRow="0" w:firstColumn="0" w:lastColumn="0" w:oddVBand="1" w:evenVBand="0" w:oddHBand="0" w:evenHBand="0" w:firstRowFirstColumn="0" w:firstRowLastColumn="0" w:lastRowFirstColumn="0" w:lastRowLastColumn="0"/>
            <w:tcW w:w="1362" w:type="dxa"/>
          </w:tcPr>
          <w:p w14:paraId="668363B0" w14:textId="77777777" w:rsidR="005D72AE" w:rsidRPr="00844A25" w:rsidRDefault="005D72AE" w:rsidP="00FA2A1A">
            <w:pPr>
              <w:rPr>
                <w:lang w:val="en-US"/>
              </w:rPr>
            </w:pPr>
            <w:r w:rsidRPr="00844A25">
              <w:rPr>
                <w:lang w:val="en-US"/>
              </w:rPr>
              <w:t>12,381</w:t>
            </w:r>
          </w:p>
        </w:tc>
      </w:tr>
      <w:tr w:rsidR="005D72AE" w:rsidRPr="00844A25" w14:paraId="646E5B88" w14:textId="77777777" w:rsidTr="00FA2A1A">
        <w:trPr>
          <w:trHeight w:val="286"/>
        </w:trPr>
        <w:tc>
          <w:tcPr>
            <w:cnfStyle w:val="000010000000" w:firstRow="0" w:lastRow="0" w:firstColumn="0" w:lastColumn="0" w:oddVBand="1" w:evenVBand="0" w:oddHBand="0" w:evenHBand="0" w:firstRowFirstColumn="0" w:firstRowLastColumn="0" w:lastRowFirstColumn="0" w:lastRowLastColumn="0"/>
            <w:tcW w:w="6442" w:type="dxa"/>
          </w:tcPr>
          <w:p w14:paraId="273C7BA7" w14:textId="77777777" w:rsidR="005D72AE" w:rsidRPr="00844A25" w:rsidRDefault="005D72AE" w:rsidP="00FA2A1A">
            <w:pPr>
              <w:rPr>
                <w:lang w:val="en-US"/>
              </w:rPr>
            </w:pPr>
            <w:r w:rsidRPr="00844A25">
              <w:rPr>
                <w:lang w:val="en-US"/>
              </w:rPr>
              <w:t xml:space="preserve">Termination benefits </w:t>
            </w:r>
          </w:p>
        </w:tc>
        <w:tc>
          <w:tcPr>
            <w:cnfStyle w:val="000001000000" w:firstRow="0" w:lastRow="0" w:firstColumn="0" w:lastColumn="0" w:oddVBand="0" w:evenVBand="1" w:oddHBand="0" w:evenHBand="0" w:firstRowFirstColumn="0" w:firstRowLastColumn="0" w:lastRowFirstColumn="0" w:lastRowLastColumn="0"/>
            <w:tcW w:w="1358" w:type="dxa"/>
            <w:shd w:val="clear" w:color="auto" w:fill="F2F2F2" w:themeFill="background1" w:themeFillShade="F2"/>
          </w:tcPr>
          <w:p w14:paraId="56608790" w14:textId="77777777" w:rsidR="005D72AE" w:rsidRPr="00844A25" w:rsidRDefault="005D72AE" w:rsidP="00FA2A1A">
            <w:pPr>
              <w:rPr>
                <w:lang w:val="en-US"/>
              </w:rPr>
            </w:pPr>
            <w:r w:rsidRPr="00844A25">
              <w:rPr>
                <w:lang w:val="en-US"/>
              </w:rPr>
              <w:t>-</w:t>
            </w:r>
          </w:p>
        </w:tc>
        <w:tc>
          <w:tcPr>
            <w:cnfStyle w:val="000010000000" w:firstRow="0" w:lastRow="0" w:firstColumn="0" w:lastColumn="0" w:oddVBand="1" w:evenVBand="0" w:oddHBand="0" w:evenHBand="0" w:firstRowFirstColumn="0" w:firstRowLastColumn="0" w:lastRowFirstColumn="0" w:lastRowLastColumn="0"/>
            <w:tcW w:w="1362" w:type="dxa"/>
          </w:tcPr>
          <w:p w14:paraId="503D8D9B" w14:textId="77777777" w:rsidR="005D72AE" w:rsidRPr="00844A25" w:rsidRDefault="005D72AE" w:rsidP="00FA2A1A">
            <w:pPr>
              <w:rPr>
                <w:lang w:val="en-US"/>
              </w:rPr>
            </w:pPr>
            <w:r w:rsidRPr="00844A25">
              <w:rPr>
                <w:lang w:val="en-US"/>
              </w:rPr>
              <w:t>-</w:t>
            </w:r>
          </w:p>
        </w:tc>
      </w:tr>
      <w:tr w:rsidR="005D72AE" w:rsidRPr="00844A25" w14:paraId="3FCFFB70" w14:textId="77777777" w:rsidTr="00FA2A1A">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6442" w:type="dxa"/>
          </w:tcPr>
          <w:p w14:paraId="78BA63A5" w14:textId="77777777" w:rsidR="005D72AE" w:rsidRPr="00397674" w:rsidRDefault="005D72AE" w:rsidP="00FA2A1A">
            <w:pPr>
              <w:rPr>
                <w:b/>
                <w:bCs/>
                <w:lang w:val="en-US"/>
              </w:rPr>
            </w:pPr>
            <w:r w:rsidRPr="00397674">
              <w:rPr>
                <w:b/>
                <w:bCs/>
                <w:lang w:val="en-US"/>
              </w:rPr>
              <w:lastRenderedPageBreak/>
              <w:t>Total</w:t>
            </w:r>
          </w:p>
        </w:tc>
        <w:tc>
          <w:tcPr>
            <w:cnfStyle w:val="000001000000" w:firstRow="0" w:lastRow="0" w:firstColumn="0" w:lastColumn="0" w:oddVBand="0" w:evenVBand="1" w:oddHBand="0" w:evenHBand="0" w:firstRowFirstColumn="0" w:firstRowLastColumn="0" w:lastRowFirstColumn="0" w:lastRowLastColumn="0"/>
            <w:tcW w:w="1358" w:type="dxa"/>
            <w:shd w:val="clear" w:color="auto" w:fill="F2F2F2" w:themeFill="background1" w:themeFillShade="F2"/>
          </w:tcPr>
          <w:p w14:paraId="218D98B8" w14:textId="77777777" w:rsidR="005D72AE" w:rsidRPr="00397674" w:rsidRDefault="005D72AE" w:rsidP="00FA2A1A">
            <w:pPr>
              <w:rPr>
                <w:b/>
                <w:bCs/>
                <w:lang w:val="en-US"/>
              </w:rPr>
            </w:pPr>
            <w:r w:rsidRPr="00397674">
              <w:rPr>
                <w:b/>
                <w:bCs/>
                <w:lang w:val="en-US"/>
              </w:rPr>
              <w:t>1,350,592</w:t>
            </w:r>
          </w:p>
        </w:tc>
        <w:tc>
          <w:tcPr>
            <w:cnfStyle w:val="000010000000" w:firstRow="0" w:lastRow="0" w:firstColumn="0" w:lastColumn="0" w:oddVBand="1" w:evenVBand="0" w:oddHBand="0" w:evenHBand="0" w:firstRowFirstColumn="0" w:firstRowLastColumn="0" w:lastRowFirstColumn="0" w:lastRowLastColumn="0"/>
            <w:tcW w:w="1362" w:type="dxa"/>
          </w:tcPr>
          <w:p w14:paraId="50289459" w14:textId="77777777" w:rsidR="005D72AE" w:rsidRPr="00397674" w:rsidRDefault="005D72AE" w:rsidP="00FA2A1A">
            <w:pPr>
              <w:rPr>
                <w:b/>
                <w:bCs/>
                <w:lang w:val="en-US"/>
              </w:rPr>
            </w:pPr>
            <w:r w:rsidRPr="00397674">
              <w:rPr>
                <w:b/>
                <w:bCs/>
                <w:lang w:val="en-US"/>
              </w:rPr>
              <w:t>939,043</w:t>
            </w:r>
          </w:p>
        </w:tc>
      </w:tr>
    </w:tbl>
    <w:p w14:paraId="28EDE11D" w14:textId="77777777" w:rsidR="005D72AE" w:rsidRPr="00844A25" w:rsidRDefault="005D72AE" w:rsidP="005D72AE">
      <w:pPr>
        <w:pStyle w:val="Heading3"/>
      </w:pPr>
      <w:r w:rsidRPr="00844A25">
        <w:t xml:space="preserve">9.6. Australian Accounting Standards issued that are not yet effective </w:t>
      </w:r>
    </w:p>
    <w:p w14:paraId="48E1DED1" w14:textId="77777777" w:rsidR="005D72AE" w:rsidRPr="00844A25" w:rsidRDefault="005D72AE" w:rsidP="005D72AE">
      <w:pPr>
        <w:rPr>
          <w:lang w:val="en-US"/>
        </w:rPr>
      </w:pPr>
      <w:r w:rsidRPr="00844A25">
        <w:rPr>
          <w:lang w:val="en-US"/>
        </w:rPr>
        <w:t>Certain new and revised accounting standards have been issued but are not effective for the 2019–20 reporting period. These accounting standards have not been applied to the commission’s financial statements. The commission is reviewing its existing policies and assessing the potential implications of these accounting standards which include:</w:t>
      </w:r>
    </w:p>
    <w:p w14:paraId="1C2DC421" w14:textId="77777777" w:rsidR="005D72AE" w:rsidRPr="00C02635" w:rsidRDefault="005D72AE" w:rsidP="005D72AE">
      <w:pPr>
        <w:pStyle w:val="ListBullet"/>
        <w:numPr>
          <w:ilvl w:val="0"/>
          <w:numId w:val="1"/>
        </w:numPr>
        <w:spacing w:before="0" w:after="180"/>
        <w:rPr>
          <w:i/>
          <w:iCs/>
          <w:lang w:val="en-US"/>
        </w:rPr>
      </w:pPr>
      <w:r w:rsidRPr="00844A25">
        <w:rPr>
          <w:lang w:val="en-US"/>
        </w:rPr>
        <w:t xml:space="preserve">AASB 2018-7 </w:t>
      </w:r>
      <w:r w:rsidRPr="00C02635">
        <w:rPr>
          <w:i/>
          <w:iCs/>
          <w:lang w:val="en-US"/>
        </w:rPr>
        <w:t>Amendments to Australian Accounting Standards – Definition of Material</w:t>
      </w:r>
    </w:p>
    <w:p w14:paraId="22C9F56A" w14:textId="77777777" w:rsidR="005D72AE" w:rsidRPr="00844A25" w:rsidRDefault="005D72AE" w:rsidP="005D72AE">
      <w:pPr>
        <w:rPr>
          <w:lang w:val="en-US"/>
        </w:rPr>
      </w:pPr>
      <w:r w:rsidRPr="00844A25">
        <w:rPr>
          <w:lang w:val="en-US"/>
        </w:rPr>
        <w:t>This Standard principally amends AASB 101</w:t>
      </w:r>
      <w:r w:rsidRPr="00844A25">
        <w:rPr>
          <w:i/>
          <w:iCs/>
          <w:lang w:val="en-US"/>
        </w:rPr>
        <w:t xml:space="preserve"> Presentation of Financial Statements </w:t>
      </w:r>
      <w:r w:rsidRPr="00844A25">
        <w:rPr>
          <w:lang w:val="en-US"/>
        </w:rPr>
        <w:t xml:space="preserve">and AASB 108 </w:t>
      </w:r>
      <w:r w:rsidRPr="00844A25">
        <w:rPr>
          <w:i/>
          <w:iCs/>
          <w:lang w:val="en-US"/>
        </w:rPr>
        <w:t>Accounting Policies, Changes in Accounting Estimates and Errors</w:t>
      </w:r>
      <w:r w:rsidRPr="00844A25">
        <w:rPr>
          <w:lang w:val="en-US"/>
        </w:rPr>
        <w:t>. It applies to reporting periods beginning on or after</w:t>
      </w:r>
      <w:r>
        <w:rPr>
          <w:lang w:val="en-US"/>
        </w:rPr>
        <w:t xml:space="preserve"> </w:t>
      </w:r>
      <w:r w:rsidRPr="00844A25">
        <w:rPr>
          <w:lang w:val="en-US"/>
        </w:rPr>
        <w:t>1 January 2020 with earlier application permitted. The commission has not earlier adopted the Standard.</w:t>
      </w:r>
    </w:p>
    <w:p w14:paraId="38D8ABAA" w14:textId="77777777" w:rsidR="005D72AE" w:rsidRPr="00844A25" w:rsidRDefault="005D72AE" w:rsidP="005D72AE">
      <w:pPr>
        <w:rPr>
          <w:lang w:val="en-US"/>
        </w:rPr>
      </w:pPr>
      <w:r w:rsidRPr="00844A25">
        <w:rPr>
          <w:lang w:val="en-US"/>
        </w:rPr>
        <w:t>The amendments refine and clarify the definition of material in AASB 101 and its application by improving</w:t>
      </w:r>
      <w:r>
        <w:rPr>
          <w:lang w:val="en-US"/>
        </w:rPr>
        <w:t xml:space="preserve"> </w:t>
      </w:r>
      <w:r w:rsidRPr="00844A25">
        <w:rPr>
          <w:lang w:val="en-US"/>
        </w:rPr>
        <w:t>the wording and aligning the definition across AASB Standards and other publications. The amendments</w:t>
      </w:r>
      <w:r>
        <w:rPr>
          <w:lang w:val="en-US"/>
        </w:rPr>
        <w:t xml:space="preserve"> </w:t>
      </w:r>
      <w:r w:rsidRPr="00844A25">
        <w:rPr>
          <w:lang w:val="en-US"/>
        </w:rPr>
        <w:t>also include some supporting requirements in AASB 101 in the definition to give it more prominence and</w:t>
      </w:r>
      <w:r>
        <w:rPr>
          <w:lang w:val="en-US"/>
        </w:rPr>
        <w:t xml:space="preserve"> </w:t>
      </w:r>
      <w:r w:rsidRPr="00844A25">
        <w:rPr>
          <w:lang w:val="en-US"/>
        </w:rPr>
        <w:t>clarify the explanation accompanying the definition of material. The commission is in the process of analysing</w:t>
      </w:r>
      <w:r>
        <w:rPr>
          <w:lang w:val="en-US"/>
        </w:rPr>
        <w:t xml:space="preserve"> </w:t>
      </w:r>
      <w:r w:rsidRPr="00844A25">
        <w:rPr>
          <w:lang w:val="en-US"/>
        </w:rPr>
        <w:t>the impacts of this Standard. However, it is not anticipated to have a material impact.</w:t>
      </w:r>
    </w:p>
    <w:p w14:paraId="6B3E6F86" w14:textId="77777777" w:rsidR="005D72AE" w:rsidRPr="00C02635" w:rsidRDefault="005D72AE" w:rsidP="005D72AE">
      <w:pPr>
        <w:pStyle w:val="ListBullet"/>
        <w:numPr>
          <w:ilvl w:val="0"/>
          <w:numId w:val="1"/>
        </w:numPr>
        <w:spacing w:before="0" w:after="180"/>
        <w:rPr>
          <w:i/>
          <w:iCs/>
          <w:lang w:val="en-US"/>
        </w:rPr>
      </w:pPr>
      <w:r w:rsidRPr="00844A25">
        <w:rPr>
          <w:lang w:val="en-US"/>
        </w:rPr>
        <w:t xml:space="preserve">AASB 2020-1 </w:t>
      </w:r>
      <w:r w:rsidRPr="00C02635">
        <w:rPr>
          <w:i/>
          <w:iCs/>
          <w:lang w:val="en-US"/>
        </w:rPr>
        <w:t>Amendments to Australian Accounting Standards – Classification of Liabilities as Current or Non-Current</w:t>
      </w:r>
    </w:p>
    <w:p w14:paraId="55494E8E" w14:textId="77777777" w:rsidR="005D72AE" w:rsidRPr="00844A25" w:rsidRDefault="005D72AE" w:rsidP="005D72AE">
      <w:pPr>
        <w:rPr>
          <w:lang w:val="en-US"/>
        </w:rPr>
      </w:pPr>
      <w:r w:rsidRPr="00844A25">
        <w:rPr>
          <w:lang w:val="en-US"/>
        </w:rPr>
        <w:t>This Standard amends AASB 101 to clarify requirements for the presentation of liabilities in the statement of financial position as current or non-current. It initially applied to annual reporting periods beginning on or after</w:t>
      </w:r>
      <w:r>
        <w:rPr>
          <w:lang w:val="en-US"/>
        </w:rPr>
        <w:t xml:space="preserve"> </w:t>
      </w:r>
      <w:r w:rsidRPr="00844A25">
        <w:rPr>
          <w:lang w:val="en-US"/>
        </w:rPr>
        <w:t>1 January 2022 with earlier application permitted however the AASB has recently issued ED 301</w:t>
      </w:r>
      <w:r w:rsidRPr="00844A25">
        <w:rPr>
          <w:i/>
          <w:iCs/>
          <w:lang w:val="en-US"/>
        </w:rPr>
        <w:t xml:space="preserve"> Classification</w:t>
      </w:r>
      <w:r>
        <w:rPr>
          <w:i/>
          <w:iCs/>
          <w:lang w:val="en-US"/>
        </w:rPr>
        <w:t xml:space="preserve"> </w:t>
      </w:r>
      <w:r w:rsidRPr="00844A25">
        <w:rPr>
          <w:i/>
          <w:iCs/>
          <w:lang w:val="en-US"/>
        </w:rPr>
        <w:t>of Liabilities as Current or Non-Current – Deferral of Effective Date</w:t>
      </w:r>
      <w:r w:rsidRPr="00844A25">
        <w:rPr>
          <w:lang w:val="en-US"/>
        </w:rPr>
        <w:t xml:space="preserve"> with the intention to defer the application</w:t>
      </w:r>
      <w:r>
        <w:rPr>
          <w:lang w:val="en-US"/>
        </w:rPr>
        <w:t xml:space="preserve"> </w:t>
      </w:r>
      <w:r w:rsidRPr="00844A25">
        <w:rPr>
          <w:lang w:val="en-US"/>
        </w:rPr>
        <w:t>by 1 year to periods beginning on or after 1 January 2023. The commission will not early adopt the Standard. The commission is in the process of analysing the impacts of this Standard. However, it is not anticipated</w:t>
      </w:r>
      <w:r>
        <w:rPr>
          <w:lang w:val="en-US"/>
        </w:rPr>
        <w:t xml:space="preserve"> </w:t>
      </w:r>
      <w:r w:rsidRPr="00844A25">
        <w:rPr>
          <w:lang w:val="en-US"/>
        </w:rPr>
        <w:t>to have a material impact.</w:t>
      </w:r>
    </w:p>
    <w:p w14:paraId="7857868F" w14:textId="77777777" w:rsidR="005D72AE" w:rsidRPr="00844A25" w:rsidRDefault="005D72AE" w:rsidP="005D72AE">
      <w:pPr>
        <w:rPr>
          <w:lang w:val="en-US"/>
        </w:rPr>
      </w:pPr>
      <w:r w:rsidRPr="00844A25">
        <w:rPr>
          <w:lang w:val="en-US"/>
        </w:rPr>
        <w:t>Several other amending standards and AASB interpretations have been issued that apply to future reporting periods, but are considered to have limited impact on the commission’s reporting.</w:t>
      </w:r>
    </w:p>
    <w:p w14:paraId="50D20825" w14:textId="77777777" w:rsidR="005D72AE" w:rsidRPr="00C02635" w:rsidRDefault="005D72AE" w:rsidP="005D72AE">
      <w:pPr>
        <w:pStyle w:val="ListBullet"/>
        <w:numPr>
          <w:ilvl w:val="0"/>
          <w:numId w:val="1"/>
        </w:numPr>
        <w:spacing w:before="0" w:after="180"/>
        <w:rPr>
          <w:i/>
          <w:iCs/>
          <w:lang w:val="en-US"/>
        </w:rPr>
      </w:pPr>
      <w:r w:rsidRPr="00844A25">
        <w:rPr>
          <w:lang w:val="en-US"/>
        </w:rPr>
        <w:t xml:space="preserve">AASB 1060 </w:t>
      </w:r>
      <w:r w:rsidRPr="00C02635">
        <w:rPr>
          <w:i/>
          <w:iCs/>
          <w:lang w:val="en-US"/>
        </w:rPr>
        <w:t>General Purpose Financial Statements – Simplified Disclosures for For-Profit and Not-for-Profit Tier 2 Entities (Appendix C)</w:t>
      </w:r>
    </w:p>
    <w:p w14:paraId="248F585F" w14:textId="77777777" w:rsidR="005D72AE" w:rsidRPr="00C02635" w:rsidRDefault="005D72AE" w:rsidP="005D72AE">
      <w:pPr>
        <w:pStyle w:val="ListBullet"/>
        <w:numPr>
          <w:ilvl w:val="0"/>
          <w:numId w:val="1"/>
        </w:numPr>
        <w:spacing w:before="0" w:after="180"/>
        <w:rPr>
          <w:i/>
          <w:iCs/>
          <w:lang w:val="en-US"/>
        </w:rPr>
      </w:pPr>
      <w:r w:rsidRPr="00844A25">
        <w:rPr>
          <w:lang w:val="en-US"/>
        </w:rPr>
        <w:t xml:space="preserve">AASB 2019-1 </w:t>
      </w:r>
      <w:r w:rsidRPr="00C02635">
        <w:rPr>
          <w:i/>
          <w:iCs/>
          <w:lang w:val="en-US"/>
        </w:rPr>
        <w:t>Amendments to Australian Accounting Standards – References to the Conceptual Framework</w:t>
      </w:r>
    </w:p>
    <w:p w14:paraId="2A3E01B1" w14:textId="77777777" w:rsidR="005D72AE" w:rsidRPr="00C02635" w:rsidRDefault="005D72AE" w:rsidP="005D72AE">
      <w:pPr>
        <w:pStyle w:val="ListBullet"/>
        <w:numPr>
          <w:ilvl w:val="0"/>
          <w:numId w:val="1"/>
        </w:numPr>
        <w:spacing w:before="0" w:after="180"/>
        <w:rPr>
          <w:i/>
          <w:iCs/>
          <w:lang w:val="en-US"/>
        </w:rPr>
      </w:pPr>
      <w:r w:rsidRPr="00844A25">
        <w:rPr>
          <w:lang w:val="en-US"/>
        </w:rPr>
        <w:t xml:space="preserve">AASB 2019-3 </w:t>
      </w:r>
      <w:r w:rsidRPr="00C02635">
        <w:rPr>
          <w:i/>
          <w:iCs/>
          <w:lang w:val="en-US"/>
        </w:rPr>
        <w:t>Amendments to Australian Accounting Standards – Interest Rate Benchmark Reform; and</w:t>
      </w:r>
    </w:p>
    <w:p w14:paraId="27D39A3A" w14:textId="77777777" w:rsidR="005D72AE" w:rsidRPr="00C02635" w:rsidRDefault="005D72AE" w:rsidP="005D72AE">
      <w:pPr>
        <w:pStyle w:val="ListBullet"/>
        <w:numPr>
          <w:ilvl w:val="0"/>
          <w:numId w:val="1"/>
        </w:numPr>
        <w:spacing w:before="0" w:after="180"/>
        <w:rPr>
          <w:i/>
          <w:iCs/>
          <w:lang w:val="en-US"/>
        </w:rPr>
      </w:pPr>
      <w:r w:rsidRPr="00844A25">
        <w:rPr>
          <w:lang w:val="en-US"/>
        </w:rPr>
        <w:t xml:space="preserve">AASB 2019-5 </w:t>
      </w:r>
      <w:r w:rsidRPr="00C02635">
        <w:rPr>
          <w:i/>
          <w:iCs/>
          <w:lang w:val="en-US"/>
        </w:rPr>
        <w:t>Amendments to Australian Accounting Standards – Disclosure of the Effect of New IFRS Standards Not Yet Issued in Australia.</w:t>
      </w:r>
    </w:p>
    <w:p w14:paraId="7BD05C03" w14:textId="77777777" w:rsidR="005D72AE" w:rsidRPr="00844A25" w:rsidRDefault="005D72AE" w:rsidP="005D72AE">
      <w:pPr>
        <w:pStyle w:val="Heading3"/>
        <w:pageBreakBefore/>
      </w:pPr>
      <w:r w:rsidRPr="00844A25">
        <w:lastRenderedPageBreak/>
        <w:t>9.7. Events after reporting date</w:t>
      </w:r>
    </w:p>
    <w:p w14:paraId="0366E118" w14:textId="77777777" w:rsidR="005D72AE" w:rsidRPr="00844A25" w:rsidRDefault="005D72AE" w:rsidP="005D72AE">
      <w:pPr>
        <w:rPr>
          <w:lang w:val="en-US"/>
        </w:rPr>
      </w:pPr>
      <w:r w:rsidRPr="00844A25">
        <w:rPr>
          <w:lang w:val="en-US"/>
        </w:rPr>
        <w:t>There were no subsequent events that had the potential to significantly affect the ongoing operations</w:t>
      </w:r>
      <w:r>
        <w:rPr>
          <w:lang w:val="en-US"/>
        </w:rPr>
        <w:t xml:space="preserve"> </w:t>
      </w:r>
      <w:r w:rsidRPr="00844A25">
        <w:rPr>
          <w:lang w:val="en-US"/>
        </w:rPr>
        <w:t>and financial activities of the commission.</w:t>
      </w:r>
    </w:p>
    <w:p w14:paraId="1CD60EE4" w14:textId="77777777" w:rsidR="005D72AE" w:rsidRPr="00844A25" w:rsidRDefault="005D72AE" w:rsidP="005D72AE">
      <w:pPr>
        <w:pStyle w:val="Heading3"/>
      </w:pPr>
      <w:r w:rsidRPr="00844A25">
        <w:t>9.8. Renumeration of auditors</w:t>
      </w:r>
    </w:p>
    <w:p w14:paraId="5B060B01" w14:textId="77777777" w:rsidR="005D72AE" w:rsidRPr="00844A25" w:rsidRDefault="005D72AE" w:rsidP="005D72AE">
      <w:pPr>
        <w:rPr>
          <w:lang w:val="en-US"/>
        </w:rPr>
      </w:pPr>
      <w:r w:rsidRPr="00844A25">
        <w:rPr>
          <w:lang w:val="en-US"/>
        </w:rPr>
        <w:t>The fee for the audit of the 2019–20 annual financial statements by the Victorian Auditor-General’s Office amounts to $19,800 (2018–19 - $17,500). No other services are being provided by the Victorian Auditor-General’s Office.</w:t>
      </w:r>
    </w:p>
    <w:p w14:paraId="11E11ED3" w14:textId="77777777" w:rsidR="005D72AE" w:rsidRPr="00844A25" w:rsidRDefault="005D72AE" w:rsidP="005D72AE">
      <w:pPr>
        <w:pStyle w:val="Heading3"/>
      </w:pPr>
      <w:r w:rsidRPr="00844A25">
        <w:t>9.9.</w:t>
      </w:r>
      <w:r>
        <w:t xml:space="preserve"> </w:t>
      </w:r>
      <w:r w:rsidRPr="00844A25">
        <w:t>Glossary of terms</w:t>
      </w:r>
    </w:p>
    <w:p w14:paraId="046848FE" w14:textId="77777777" w:rsidR="005D72AE" w:rsidRPr="00844A25" w:rsidRDefault="005D72AE" w:rsidP="005D72AE">
      <w:pPr>
        <w:rPr>
          <w:b/>
          <w:bCs/>
          <w:lang w:val="en-US"/>
        </w:rPr>
      </w:pPr>
      <w:r w:rsidRPr="00844A25">
        <w:rPr>
          <w:b/>
          <w:bCs/>
          <w:lang w:val="en-US"/>
        </w:rPr>
        <w:t>Administered item</w:t>
      </w:r>
    </w:p>
    <w:p w14:paraId="2FC4DE90" w14:textId="77777777" w:rsidR="005D72AE" w:rsidRPr="00844A25" w:rsidRDefault="005D72AE" w:rsidP="005D72AE">
      <w:pPr>
        <w:rPr>
          <w:lang w:val="en-US"/>
        </w:rPr>
      </w:pPr>
      <w:r w:rsidRPr="00844A25">
        <w:rPr>
          <w:lang w:val="en-US"/>
        </w:rPr>
        <w:t>Administered item generally refers to a commission lacking the capacity to benefit from that item in the pursuit of the commission’s objectives and to deny or regulate the access of others to that benefit.</w:t>
      </w:r>
    </w:p>
    <w:p w14:paraId="2E9B0D2F" w14:textId="77777777" w:rsidR="005D72AE" w:rsidRPr="00844A25" w:rsidRDefault="005D72AE" w:rsidP="005D72AE">
      <w:pPr>
        <w:rPr>
          <w:b/>
          <w:bCs/>
          <w:lang w:val="en-US"/>
        </w:rPr>
      </w:pPr>
      <w:r w:rsidRPr="00844A25">
        <w:rPr>
          <w:b/>
          <w:bCs/>
          <w:lang w:val="en-US"/>
        </w:rPr>
        <w:t>Annualised employee equivalent</w:t>
      </w:r>
    </w:p>
    <w:p w14:paraId="0D5599DF" w14:textId="77777777" w:rsidR="005D72AE" w:rsidRPr="00844A25" w:rsidRDefault="005D72AE" w:rsidP="005D72AE">
      <w:pPr>
        <w:rPr>
          <w:lang w:val="en-US"/>
        </w:rPr>
      </w:pPr>
      <w:r w:rsidRPr="00844A25">
        <w:rPr>
          <w:lang w:val="en-US"/>
        </w:rPr>
        <w:t>Annualised employee equivalent is based on paid working hours of 38 ordinary hours per week over 52 weeks for a reporting period.</w:t>
      </w:r>
    </w:p>
    <w:p w14:paraId="27FCB2AA" w14:textId="77777777" w:rsidR="005D72AE" w:rsidRPr="00844A25" w:rsidRDefault="005D72AE" w:rsidP="005D72AE">
      <w:pPr>
        <w:rPr>
          <w:b/>
          <w:bCs/>
          <w:lang w:val="en-US"/>
        </w:rPr>
      </w:pPr>
      <w:r w:rsidRPr="00844A25">
        <w:rPr>
          <w:b/>
          <w:bCs/>
          <w:lang w:val="en-US"/>
        </w:rPr>
        <w:t>Capital asset charge</w:t>
      </w:r>
    </w:p>
    <w:p w14:paraId="245EF582" w14:textId="77777777" w:rsidR="005D72AE" w:rsidRPr="00844A25" w:rsidRDefault="005D72AE" w:rsidP="005D72AE">
      <w:pPr>
        <w:rPr>
          <w:lang w:val="en-US"/>
        </w:rPr>
      </w:pPr>
      <w:r w:rsidRPr="00844A25">
        <w:rPr>
          <w:lang w:val="en-US"/>
        </w:rPr>
        <w:t>A charge levied on the written-down value of controlled non-current physical assets in the commission’s balance sheet which aims to: attribute to the opportunity cost of capital used in service delivery; and provide incentives to the commission to identify and dispose of underutilised or surplus assets in a timely manner.</w:t>
      </w:r>
    </w:p>
    <w:p w14:paraId="69FD3638" w14:textId="77777777" w:rsidR="005D72AE" w:rsidRPr="00844A25" w:rsidRDefault="005D72AE" w:rsidP="005D72AE">
      <w:pPr>
        <w:rPr>
          <w:b/>
          <w:bCs/>
          <w:lang w:val="en-US"/>
        </w:rPr>
      </w:pPr>
      <w:r w:rsidRPr="00844A25">
        <w:rPr>
          <w:b/>
          <w:bCs/>
          <w:lang w:val="en-US"/>
        </w:rPr>
        <w:t>Commitments</w:t>
      </w:r>
    </w:p>
    <w:p w14:paraId="3215F2D0" w14:textId="77777777" w:rsidR="005D72AE" w:rsidRPr="00844A25" w:rsidRDefault="005D72AE" w:rsidP="005D72AE">
      <w:pPr>
        <w:rPr>
          <w:lang w:val="en-US"/>
        </w:rPr>
      </w:pPr>
      <w:r w:rsidRPr="00844A25">
        <w:rPr>
          <w:lang w:val="en-US"/>
        </w:rPr>
        <w:t>Commitments include those operating, capital and other outsourcing commitments arising from non-cancellable contractual or statutory sources.</w:t>
      </w:r>
    </w:p>
    <w:p w14:paraId="0F10E1B1" w14:textId="77777777" w:rsidR="005D72AE" w:rsidRPr="00844A25" w:rsidRDefault="005D72AE" w:rsidP="005D72AE">
      <w:pPr>
        <w:rPr>
          <w:b/>
          <w:bCs/>
          <w:lang w:val="en-US"/>
        </w:rPr>
      </w:pPr>
      <w:r w:rsidRPr="00844A25">
        <w:rPr>
          <w:b/>
          <w:bCs/>
          <w:lang w:val="en-US"/>
        </w:rPr>
        <w:t>Comprehensive result</w:t>
      </w:r>
    </w:p>
    <w:p w14:paraId="15AF0BC2" w14:textId="77777777" w:rsidR="005D72AE" w:rsidRPr="00844A25" w:rsidRDefault="005D72AE" w:rsidP="005D72AE">
      <w:pPr>
        <w:rPr>
          <w:b/>
          <w:bCs/>
          <w:lang w:val="en-US"/>
        </w:rPr>
      </w:pPr>
      <w:r w:rsidRPr="00844A25">
        <w:rPr>
          <w:lang w:val="en-US"/>
        </w:rPr>
        <w:t>The net result of all items of income and expense recognised for the period. It is the aggregate of operating result and other comprehensive income.</w:t>
      </w:r>
    </w:p>
    <w:p w14:paraId="7762DDC0" w14:textId="77777777" w:rsidR="005D72AE" w:rsidRPr="00844A25" w:rsidRDefault="005D72AE" w:rsidP="005D72AE">
      <w:pPr>
        <w:rPr>
          <w:b/>
          <w:bCs/>
          <w:lang w:val="en-US"/>
        </w:rPr>
      </w:pPr>
      <w:r w:rsidRPr="00844A25">
        <w:rPr>
          <w:b/>
          <w:bCs/>
          <w:lang w:val="en-US"/>
        </w:rPr>
        <w:t>Controlled item</w:t>
      </w:r>
    </w:p>
    <w:p w14:paraId="26E20B82" w14:textId="77777777" w:rsidR="005D72AE" w:rsidRPr="00844A25" w:rsidRDefault="005D72AE" w:rsidP="005D72AE">
      <w:pPr>
        <w:rPr>
          <w:b/>
          <w:bCs/>
          <w:lang w:val="en-US"/>
        </w:rPr>
      </w:pPr>
      <w:r w:rsidRPr="00844A25">
        <w:rPr>
          <w:lang w:val="en-US"/>
        </w:rPr>
        <w:t>Controlled item generally refers to the capacity of a commission to benefit from that item in the pursuit of the commission’s objectives and to deny or regulate the access of others to that benefit.</w:t>
      </w:r>
    </w:p>
    <w:p w14:paraId="48E03E56" w14:textId="77777777" w:rsidR="005D72AE" w:rsidRPr="00844A25" w:rsidRDefault="005D72AE" w:rsidP="005D72AE">
      <w:pPr>
        <w:rPr>
          <w:b/>
          <w:bCs/>
          <w:lang w:val="en-US"/>
        </w:rPr>
      </w:pPr>
      <w:r w:rsidRPr="00844A25">
        <w:rPr>
          <w:b/>
          <w:bCs/>
          <w:lang w:val="en-US"/>
        </w:rPr>
        <w:t>Depreciation</w:t>
      </w:r>
    </w:p>
    <w:p w14:paraId="5DC4475A" w14:textId="77777777" w:rsidR="005D72AE" w:rsidRPr="00844A25" w:rsidRDefault="005D72AE" w:rsidP="005D72AE">
      <w:pPr>
        <w:rPr>
          <w:b/>
          <w:bCs/>
          <w:lang w:val="en-US"/>
        </w:rPr>
      </w:pPr>
      <w:r w:rsidRPr="00844A25">
        <w:rPr>
          <w:lang w:val="en-US"/>
        </w:rPr>
        <w:t>Depreciation is an expense that arises from the consumption through wear or time of a produced physical</w:t>
      </w:r>
      <w:r>
        <w:rPr>
          <w:lang w:val="en-US"/>
        </w:rPr>
        <w:t xml:space="preserve"> </w:t>
      </w:r>
      <w:r w:rsidRPr="00844A25">
        <w:rPr>
          <w:lang w:val="en-US"/>
        </w:rPr>
        <w:t>or intangible asset. This expense is classified as a transaction and so reduces the net result from transactions.</w:t>
      </w:r>
    </w:p>
    <w:p w14:paraId="4DF226EE" w14:textId="77777777" w:rsidR="005D72AE" w:rsidRPr="00844A25" w:rsidRDefault="005D72AE" w:rsidP="005D72AE">
      <w:pPr>
        <w:pageBreakBefore/>
        <w:rPr>
          <w:b/>
          <w:bCs/>
          <w:lang w:val="en-US"/>
        </w:rPr>
      </w:pPr>
      <w:r w:rsidRPr="00844A25">
        <w:rPr>
          <w:b/>
          <w:bCs/>
          <w:lang w:val="en-US"/>
        </w:rPr>
        <w:lastRenderedPageBreak/>
        <w:t>Employee benefits expenses</w:t>
      </w:r>
    </w:p>
    <w:p w14:paraId="5DCC4D21" w14:textId="77777777" w:rsidR="005D72AE" w:rsidRPr="00844A25" w:rsidRDefault="005D72AE" w:rsidP="005D72AE">
      <w:pPr>
        <w:rPr>
          <w:lang w:val="en-US"/>
        </w:rPr>
      </w:pPr>
      <w:r w:rsidRPr="00844A25">
        <w:rPr>
          <w:lang w:val="en-US"/>
        </w:rPr>
        <w:t>Employee benefits expenses include all costs related to employment including wages and salaries,</w:t>
      </w:r>
      <w:r>
        <w:rPr>
          <w:lang w:val="en-US"/>
        </w:rPr>
        <w:t xml:space="preserve"> </w:t>
      </w:r>
      <w:r w:rsidRPr="00844A25">
        <w:rPr>
          <w:lang w:val="en-US"/>
        </w:rPr>
        <w:t>fringe benefits tax, leave entitlements, redundancy payments and superannuation contributions.</w:t>
      </w:r>
    </w:p>
    <w:p w14:paraId="01B7CE92" w14:textId="77777777" w:rsidR="005D72AE" w:rsidRPr="00844A25" w:rsidRDefault="005D72AE" w:rsidP="005D72AE">
      <w:pPr>
        <w:rPr>
          <w:b/>
          <w:bCs/>
          <w:lang w:val="en-US"/>
        </w:rPr>
      </w:pPr>
      <w:r w:rsidRPr="00844A25">
        <w:rPr>
          <w:b/>
          <w:bCs/>
          <w:lang w:val="en-US"/>
        </w:rPr>
        <w:t>Finance lease</w:t>
      </w:r>
    </w:p>
    <w:p w14:paraId="037C79E1" w14:textId="77777777" w:rsidR="005D72AE" w:rsidRPr="00844A25" w:rsidRDefault="005D72AE" w:rsidP="005D72AE">
      <w:pPr>
        <w:rPr>
          <w:lang w:val="en-US"/>
        </w:rPr>
      </w:pPr>
      <w:r w:rsidRPr="00844A25">
        <w:rPr>
          <w:lang w:val="en-US"/>
        </w:rPr>
        <w:t>Finance lease is a lease that transfers substantially all the risks and rewards incidental to ownership</w:t>
      </w:r>
      <w:r>
        <w:rPr>
          <w:lang w:val="en-US"/>
        </w:rPr>
        <w:t xml:space="preserve"> </w:t>
      </w:r>
      <w:r w:rsidRPr="00844A25">
        <w:rPr>
          <w:lang w:val="en-US"/>
        </w:rPr>
        <w:t>of an underlying asset.</w:t>
      </w:r>
    </w:p>
    <w:p w14:paraId="595C611D" w14:textId="77777777" w:rsidR="005D72AE" w:rsidRPr="00844A25" w:rsidRDefault="005D72AE" w:rsidP="005D72AE">
      <w:pPr>
        <w:rPr>
          <w:b/>
          <w:bCs/>
          <w:lang w:val="en-US"/>
        </w:rPr>
      </w:pPr>
      <w:r w:rsidRPr="00844A25">
        <w:rPr>
          <w:b/>
          <w:bCs/>
          <w:lang w:val="en-US"/>
        </w:rPr>
        <w:t>Financial asset</w:t>
      </w:r>
    </w:p>
    <w:p w14:paraId="48068518" w14:textId="77777777" w:rsidR="005D72AE" w:rsidRPr="00844A25" w:rsidRDefault="005D72AE" w:rsidP="005D72AE">
      <w:pPr>
        <w:rPr>
          <w:lang w:val="en-US"/>
        </w:rPr>
      </w:pPr>
      <w:r w:rsidRPr="00844A25">
        <w:rPr>
          <w:lang w:val="en-US"/>
        </w:rPr>
        <w:t>A financial asset is any asset that is:</w:t>
      </w:r>
    </w:p>
    <w:p w14:paraId="3D2CC608" w14:textId="77777777" w:rsidR="005D72AE" w:rsidRPr="00844A25" w:rsidRDefault="005D72AE" w:rsidP="005D72AE">
      <w:pPr>
        <w:pStyle w:val="ListBullet"/>
        <w:numPr>
          <w:ilvl w:val="0"/>
          <w:numId w:val="1"/>
        </w:numPr>
        <w:spacing w:before="0" w:after="180"/>
        <w:rPr>
          <w:lang w:val="en-US"/>
        </w:rPr>
      </w:pPr>
      <w:r w:rsidRPr="00844A25">
        <w:rPr>
          <w:lang w:val="en-US"/>
        </w:rPr>
        <w:t>cash;</w:t>
      </w:r>
    </w:p>
    <w:p w14:paraId="79B5F25A" w14:textId="77777777" w:rsidR="005D72AE" w:rsidRPr="00844A25" w:rsidRDefault="005D72AE" w:rsidP="005D72AE">
      <w:pPr>
        <w:pStyle w:val="ListBullet"/>
        <w:numPr>
          <w:ilvl w:val="0"/>
          <w:numId w:val="1"/>
        </w:numPr>
        <w:spacing w:before="0" w:after="180"/>
        <w:rPr>
          <w:lang w:val="en-US"/>
        </w:rPr>
      </w:pPr>
      <w:r w:rsidRPr="00844A25">
        <w:rPr>
          <w:lang w:val="en-US"/>
        </w:rPr>
        <w:t>an equity instrument of another entity;</w:t>
      </w:r>
    </w:p>
    <w:p w14:paraId="541F518B" w14:textId="77777777" w:rsidR="005D72AE" w:rsidRPr="00844A25" w:rsidRDefault="005D72AE" w:rsidP="005D72AE">
      <w:pPr>
        <w:rPr>
          <w:lang w:val="en-US"/>
        </w:rPr>
      </w:pPr>
      <w:r w:rsidRPr="00844A25">
        <w:rPr>
          <w:lang w:val="en-US"/>
        </w:rPr>
        <w:t>a contractual right:</w:t>
      </w:r>
    </w:p>
    <w:p w14:paraId="50881C3C" w14:textId="77777777" w:rsidR="005D72AE" w:rsidRPr="00844A25" w:rsidRDefault="005D72AE" w:rsidP="005D72AE">
      <w:pPr>
        <w:rPr>
          <w:lang w:val="en-US"/>
        </w:rPr>
      </w:pPr>
      <w:r w:rsidRPr="00844A25">
        <w:rPr>
          <w:lang w:val="en-US"/>
        </w:rPr>
        <w:t>to receive cash or another financial asset from another entity; or</w:t>
      </w:r>
    </w:p>
    <w:p w14:paraId="10B0025E" w14:textId="77777777" w:rsidR="005D72AE" w:rsidRPr="00844A25" w:rsidRDefault="005D72AE" w:rsidP="005D72AE">
      <w:pPr>
        <w:rPr>
          <w:lang w:val="en-US"/>
        </w:rPr>
      </w:pPr>
      <w:r w:rsidRPr="00844A25">
        <w:rPr>
          <w:lang w:val="en-US"/>
        </w:rPr>
        <w:t>to exchange financial assets or financial liabilities with another entity under conditions</w:t>
      </w:r>
      <w:r>
        <w:rPr>
          <w:lang w:val="en-US"/>
        </w:rPr>
        <w:t xml:space="preserve"> </w:t>
      </w:r>
      <w:r w:rsidRPr="00844A25">
        <w:rPr>
          <w:lang w:val="en-US"/>
        </w:rPr>
        <w:t>that are potentially favourable to the entity; or</w:t>
      </w:r>
    </w:p>
    <w:p w14:paraId="4B577816" w14:textId="77777777" w:rsidR="005D72AE" w:rsidRPr="00844A25" w:rsidRDefault="005D72AE" w:rsidP="005D72AE">
      <w:pPr>
        <w:rPr>
          <w:lang w:val="en-US"/>
        </w:rPr>
      </w:pPr>
      <w:r w:rsidRPr="00844A25">
        <w:rPr>
          <w:lang w:val="en-US"/>
        </w:rPr>
        <w:t>a contract that will or may be settled in the entity’s own equity instruments and is:</w:t>
      </w:r>
    </w:p>
    <w:p w14:paraId="75A6B6B6" w14:textId="77777777" w:rsidR="005D72AE" w:rsidRPr="00844A25" w:rsidRDefault="005D72AE" w:rsidP="005D72AE">
      <w:pPr>
        <w:rPr>
          <w:lang w:val="en-US"/>
        </w:rPr>
      </w:pPr>
      <w:r w:rsidRPr="00844A25">
        <w:rPr>
          <w:lang w:val="en-US"/>
        </w:rPr>
        <w:t>a non-derivative for which the entity is or may be obliged to receive a variable number of the entity’s own equity instruments; or</w:t>
      </w:r>
    </w:p>
    <w:p w14:paraId="17BC5257" w14:textId="77777777" w:rsidR="005D72AE" w:rsidRPr="00844A25" w:rsidRDefault="005D72AE" w:rsidP="005D72AE">
      <w:pPr>
        <w:rPr>
          <w:lang w:val="en-US"/>
        </w:rPr>
      </w:pPr>
      <w:r w:rsidRPr="00844A25">
        <w:rPr>
          <w:lang w:val="en-US"/>
        </w:rPr>
        <w:t>a derivative that will or may be settled other than by the exchange of a fixed amount of cash or another financial asset for a fixed number of the entity’s own equity instruments.</w:t>
      </w:r>
    </w:p>
    <w:p w14:paraId="2EAF8E93" w14:textId="77777777" w:rsidR="005D72AE" w:rsidRPr="00844A25" w:rsidRDefault="005D72AE" w:rsidP="005D72AE">
      <w:pPr>
        <w:rPr>
          <w:b/>
          <w:bCs/>
          <w:lang w:val="en-US"/>
        </w:rPr>
      </w:pPr>
      <w:r w:rsidRPr="00844A25">
        <w:rPr>
          <w:b/>
          <w:bCs/>
          <w:lang w:val="en-US"/>
        </w:rPr>
        <w:t>Financial instrument</w:t>
      </w:r>
    </w:p>
    <w:p w14:paraId="1FFD755F" w14:textId="77777777" w:rsidR="005D72AE" w:rsidRPr="00844A25" w:rsidRDefault="005D72AE" w:rsidP="005D72AE">
      <w:pPr>
        <w:rPr>
          <w:lang w:val="en-US"/>
        </w:rPr>
      </w:pPr>
      <w:r w:rsidRPr="00844A25">
        <w:rPr>
          <w:lang w:val="en-US"/>
        </w:rPr>
        <w:t>A financial instrument is any contract that gives rise to a financial asset of one entity and a financial liability or equity instrument of another entity. Financial assets or liabilities that are not contractual (such as statutory receivables or payables that arise as a result of statutory requirements imposed by governments) are not financial instruments.</w:t>
      </w:r>
    </w:p>
    <w:p w14:paraId="598C7A6D" w14:textId="77777777" w:rsidR="005D72AE" w:rsidRPr="00844A25" w:rsidRDefault="005D72AE" w:rsidP="005D72AE">
      <w:pPr>
        <w:rPr>
          <w:b/>
          <w:bCs/>
          <w:lang w:val="en-US"/>
        </w:rPr>
      </w:pPr>
      <w:r w:rsidRPr="00844A25">
        <w:rPr>
          <w:b/>
          <w:bCs/>
          <w:lang w:val="en-US"/>
        </w:rPr>
        <w:t>Financial liability</w:t>
      </w:r>
    </w:p>
    <w:p w14:paraId="7D419B49" w14:textId="77777777" w:rsidR="005D72AE" w:rsidRPr="00844A25" w:rsidRDefault="005D72AE" w:rsidP="005D72AE">
      <w:pPr>
        <w:rPr>
          <w:lang w:val="en-US"/>
        </w:rPr>
      </w:pPr>
      <w:r w:rsidRPr="00844A25">
        <w:rPr>
          <w:lang w:val="en-US"/>
        </w:rPr>
        <w:t>A financial liability is any liability that is:</w:t>
      </w:r>
    </w:p>
    <w:p w14:paraId="58EF2ABE" w14:textId="77777777" w:rsidR="005D72AE" w:rsidRPr="00844A25" w:rsidRDefault="005D72AE" w:rsidP="005D72AE">
      <w:pPr>
        <w:pStyle w:val="ListBullet"/>
        <w:numPr>
          <w:ilvl w:val="0"/>
          <w:numId w:val="1"/>
        </w:numPr>
        <w:spacing w:before="0" w:after="180"/>
        <w:rPr>
          <w:lang w:val="en-US"/>
        </w:rPr>
      </w:pPr>
      <w:r w:rsidRPr="00844A25">
        <w:rPr>
          <w:lang w:val="en-US"/>
        </w:rPr>
        <w:t>a contractual obligation:</w:t>
      </w:r>
    </w:p>
    <w:p w14:paraId="6A47922A" w14:textId="77777777" w:rsidR="005D72AE" w:rsidRPr="00844A25" w:rsidRDefault="005D72AE" w:rsidP="005D72AE">
      <w:pPr>
        <w:pStyle w:val="ListBullet"/>
        <w:numPr>
          <w:ilvl w:val="0"/>
          <w:numId w:val="1"/>
        </w:numPr>
        <w:spacing w:before="0" w:after="180"/>
        <w:rPr>
          <w:lang w:val="en-US"/>
        </w:rPr>
      </w:pPr>
      <w:r w:rsidRPr="00844A25">
        <w:rPr>
          <w:lang w:val="en-US"/>
        </w:rPr>
        <w:t>to deliver cash or another financial asset to another entity; or</w:t>
      </w:r>
    </w:p>
    <w:p w14:paraId="56BF389D" w14:textId="77777777" w:rsidR="005D72AE" w:rsidRPr="00844A25" w:rsidRDefault="005D72AE" w:rsidP="005D72AE">
      <w:pPr>
        <w:pStyle w:val="ListBullet"/>
        <w:numPr>
          <w:ilvl w:val="0"/>
          <w:numId w:val="1"/>
        </w:numPr>
        <w:spacing w:before="0" w:after="180"/>
        <w:rPr>
          <w:lang w:val="en-US"/>
        </w:rPr>
      </w:pPr>
      <w:r w:rsidRPr="00844A25">
        <w:rPr>
          <w:lang w:val="en-US"/>
        </w:rPr>
        <w:t>to exchange financial assets or financial liabilities with another entity under conditions that are potentially unfavourable to the entity; or</w:t>
      </w:r>
    </w:p>
    <w:p w14:paraId="00EBB355" w14:textId="77777777" w:rsidR="005D72AE" w:rsidRPr="00844A25" w:rsidRDefault="005D72AE" w:rsidP="005D72AE">
      <w:pPr>
        <w:pStyle w:val="ListBullet"/>
        <w:numPr>
          <w:ilvl w:val="0"/>
          <w:numId w:val="1"/>
        </w:numPr>
        <w:spacing w:before="0" w:after="180"/>
        <w:rPr>
          <w:lang w:val="en-US"/>
        </w:rPr>
      </w:pPr>
      <w:r w:rsidRPr="00844A25">
        <w:rPr>
          <w:lang w:val="en-US"/>
        </w:rPr>
        <w:t>a contract that will or may be settled in the entity’s own equity instruments and is:</w:t>
      </w:r>
    </w:p>
    <w:p w14:paraId="6D4B849D" w14:textId="77777777" w:rsidR="005D72AE" w:rsidRPr="00844A25" w:rsidRDefault="005D72AE" w:rsidP="005D72AE">
      <w:pPr>
        <w:pStyle w:val="ListBullet"/>
        <w:numPr>
          <w:ilvl w:val="0"/>
          <w:numId w:val="1"/>
        </w:numPr>
        <w:spacing w:before="0" w:after="180"/>
        <w:rPr>
          <w:lang w:val="en-US"/>
        </w:rPr>
      </w:pPr>
      <w:r w:rsidRPr="00844A25">
        <w:rPr>
          <w:lang w:val="en-US"/>
        </w:rPr>
        <w:t>a non-derivative for which the entity is or may be obliged to deliver a variable number of the entity’s own equity instruments; or</w:t>
      </w:r>
    </w:p>
    <w:p w14:paraId="052B78D8" w14:textId="77777777" w:rsidR="005D72AE" w:rsidRPr="00844A25" w:rsidRDefault="005D72AE" w:rsidP="005D72AE">
      <w:pPr>
        <w:pStyle w:val="ListBullet"/>
        <w:numPr>
          <w:ilvl w:val="0"/>
          <w:numId w:val="1"/>
        </w:numPr>
        <w:spacing w:before="0" w:after="180"/>
        <w:rPr>
          <w:lang w:val="en-US"/>
        </w:rPr>
      </w:pPr>
      <w:r w:rsidRPr="00844A25">
        <w:rPr>
          <w:lang w:val="en-US"/>
        </w:rPr>
        <w:lastRenderedPageBreak/>
        <w:t>a derivative that will or may be settled other than by the exchange of a fixed amount of cash or another financial asset for a fixed number of the entity’s own equity instruments. For this purpose the entity’s own equity instruments do not include instruments that are themselves contracts for the future receipt or delivery of the entity’s own equity instruments.</w:t>
      </w:r>
    </w:p>
    <w:p w14:paraId="6FC7B495" w14:textId="77777777" w:rsidR="005D72AE" w:rsidRPr="00844A25" w:rsidRDefault="005D72AE" w:rsidP="005D72AE">
      <w:pPr>
        <w:rPr>
          <w:b/>
          <w:bCs/>
          <w:lang w:val="en-US"/>
        </w:rPr>
      </w:pPr>
      <w:r w:rsidRPr="00844A25">
        <w:rPr>
          <w:b/>
          <w:bCs/>
          <w:lang w:val="en-US"/>
        </w:rPr>
        <w:t>Financial statements</w:t>
      </w:r>
    </w:p>
    <w:p w14:paraId="5B67A838" w14:textId="77777777" w:rsidR="005D72AE" w:rsidRPr="00844A25" w:rsidRDefault="005D72AE" w:rsidP="005D72AE">
      <w:pPr>
        <w:rPr>
          <w:lang w:val="en-US"/>
        </w:rPr>
      </w:pPr>
      <w:r w:rsidRPr="00844A25">
        <w:rPr>
          <w:lang w:val="en-US"/>
        </w:rPr>
        <w:t>A complete set of financial statements comprises:</w:t>
      </w:r>
    </w:p>
    <w:p w14:paraId="32AD625B" w14:textId="77777777" w:rsidR="005D72AE" w:rsidRPr="002F6BD9" w:rsidRDefault="005D72AE" w:rsidP="005D72AE">
      <w:pPr>
        <w:pStyle w:val="ListParagraph"/>
        <w:numPr>
          <w:ilvl w:val="0"/>
          <w:numId w:val="10"/>
        </w:numPr>
        <w:rPr>
          <w:lang w:val="en-US"/>
        </w:rPr>
      </w:pPr>
      <w:r w:rsidRPr="002F6BD9">
        <w:rPr>
          <w:lang w:val="en-US"/>
        </w:rPr>
        <w:t>a comprehensive operating statement for the period</w:t>
      </w:r>
    </w:p>
    <w:p w14:paraId="40A31A1F" w14:textId="77777777" w:rsidR="005D72AE" w:rsidRPr="002F6BD9" w:rsidRDefault="005D72AE" w:rsidP="005D72AE">
      <w:pPr>
        <w:pStyle w:val="ListParagraph"/>
        <w:numPr>
          <w:ilvl w:val="0"/>
          <w:numId w:val="10"/>
        </w:numPr>
        <w:rPr>
          <w:lang w:val="en-US"/>
        </w:rPr>
      </w:pPr>
      <w:r w:rsidRPr="002F6BD9">
        <w:rPr>
          <w:lang w:val="en-US"/>
        </w:rPr>
        <w:t>a balance sheet as at the end of the period</w:t>
      </w:r>
    </w:p>
    <w:p w14:paraId="4C2DE1AA" w14:textId="77777777" w:rsidR="005D72AE" w:rsidRPr="002F6BD9" w:rsidRDefault="005D72AE" w:rsidP="005D72AE">
      <w:pPr>
        <w:pStyle w:val="ListParagraph"/>
        <w:numPr>
          <w:ilvl w:val="0"/>
          <w:numId w:val="10"/>
        </w:numPr>
        <w:rPr>
          <w:lang w:val="en-US"/>
        </w:rPr>
      </w:pPr>
      <w:r w:rsidRPr="002F6BD9">
        <w:rPr>
          <w:lang w:val="en-US"/>
        </w:rPr>
        <w:t>a statement of changes in equity for the period</w:t>
      </w:r>
    </w:p>
    <w:p w14:paraId="17371EC3" w14:textId="77777777" w:rsidR="005D72AE" w:rsidRPr="002F6BD9" w:rsidRDefault="005D72AE" w:rsidP="005D72AE">
      <w:pPr>
        <w:pStyle w:val="ListParagraph"/>
        <w:numPr>
          <w:ilvl w:val="0"/>
          <w:numId w:val="10"/>
        </w:numPr>
        <w:rPr>
          <w:lang w:val="en-US"/>
        </w:rPr>
      </w:pPr>
      <w:r w:rsidRPr="002F6BD9">
        <w:rPr>
          <w:lang w:val="en-US"/>
        </w:rPr>
        <w:t>a cash flow statement for the period</w:t>
      </w:r>
    </w:p>
    <w:p w14:paraId="38A3D6D0" w14:textId="77777777" w:rsidR="005D72AE" w:rsidRPr="002F6BD9" w:rsidRDefault="005D72AE" w:rsidP="005D72AE">
      <w:pPr>
        <w:pStyle w:val="ListParagraph"/>
        <w:numPr>
          <w:ilvl w:val="0"/>
          <w:numId w:val="10"/>
        </w:numPr>
        <w:rPr>
          <w:lang w:val="en-US"/>
        </w:rPr>
      </w:pPr>
      <w:r w:rsidRPr="002F6BD9">
        <w:rPr>
          <w:lang w:val="en-US"/>
        </w:rPr>
        <w:t>notes, comprising a summary of significant accounting policies and other explanatory information</w:t>
      </w:r>
    </w:p>
    <w:p w14:paraId="0074B758" w14:textId="77777777" w:rsidR="005D72AE" w:rsidRPr="002F6BD9" w:rsidRDefault="005D72AE" w:rsidP="005D72AE">
      <w:pPr>
        <w:pStyle w:val="ListParagraph"/>
        <w:numPr>
          <w:ilvl w:val="0"/>
          <w:numId w:val="10"/>
        </w:numPr>
        <w:rPr>
          <w:lang w:val="en-US"/>
        </w:rPr>
      </w:pPr>
      <w:r w:rsidRPr="002F6BD9">
        <w:rPr>
          <w:lang w:val="en-US"/>
        </w:rPr>
        <w:t xml:space="preserve">comparative information in respect of the preceding period as specified in paragraph 38 of AASB 101 </w:t>
      </w:r>
      <w:r w:rsidRPr="002F6BD9">
        <w:rPr>
          <w:i/>
          <w:iCs/>
          <w:lang w:val="en-US"/>
        </w:rPr>
        <w:t>Presentation of Financial Statements</w:t>
      </w:r>
      <w:r w:rsidRPr="002F6BD9">
        <w:rPr>
          <w:lang w:val="en-US"/>
        </w:rPr>
        <w:t>; and</w:t>
      </w:r>
    </w:p>
    <w:p w14:paraId="18AA4CEA" w14:textId="77777777" w:rsidR="005D72AE" w:rsidRPr="002F6BD9" w:rsidRDefault="005D72AE" w:rsidP="005D72AE">
      <w:pPr>
        <w:pStyle w:val="ListParagraph"/>
        <w:numPr>
          <w:ilvl w:val="0"/>
          <w:numId w:val="10"/>
        </w:numPr>
        <w:rPr>
          <w:lang w:val="en-US"/>
        </w:rPr>
      </w:pPr>
      <w:r w:rsidRPr="002F6BD9">
        <w:rPr>
          <w:lang w:val="en-US"/>
        </w:rPr>
        <w:t>a balance sheet as at the beginning of the preceding period when an entity applies an accounting policy retrospectively or makes a retrospective restatement of items in its financial statements, or when it reclassifies items in its financial statements in accordance with paragraph 41 of AASB 101.</w:t>
      </w:r>
    </w:p>
    <w:p w14:paraId="58556B59" w14:textId="77777777" w:rsidR="005D72AE" w:rsidRPr="00844A25" w:rsidRDefault="005D72AE" w:rsidP="005D72AE">
      <w:pPr>
        <w:rPr>
          <w:b/>
          <w:bCs/>
          <w:lang w:val="en-US"/>
        </w:rPr>
      </w:pPr>
      <w:r w:rsidRPr="00844A25">
        <w:rPr>
          <w:b/>
          <w:bCs/>
          <w:lang w:val="en-US"/>
        </w:rPr>
        <w:t>Grants</w:t>
      </w:r>
    </w:p>
    <w:p w14:paraId="60041F77" w14:textId="77777777" w:rsidR="005D72AE" w:rsidRPr="00844A25" w:rsidRDefault="005D72AE" w:rsidP="005D72AE">
      <w:pPr>
        <w:rPr>
          <w:lang w:val="en-US"/>
        </w:rPr>
      </w:pPr>
      <w:r w:rsidRPr="00844A25">
        <w:rPr>
          <w:lang w:val="en-US"/>
        </w:rPr>
        <w:t>Transactions in which one unit provides goods, services, assets (or extinguishes a liability) or labour to another unit without receiving approximately equal value in return. Grants can either be operating or capital in nature.</w:t>
      </w:r>
    </w:p>
    <w:p w14:paraId="19381091" w14:textId="77777777" w:rsidR="005D72AE" w:rsidRPr="00844A25" w:rsidRDefault="005D72AE" w:rsidP="005D72AE">
      <w:pPr>
        <w:rPr>
          <w:lang w:val="en-US"/>
        </w:rPr>
      </w:pPr>
      <w:r w:rsidRPr="00844A25">
        <w:rPr>
          <w:lang w:val="en-US"/>
        </w:rPr>
        <w:t>While grants to governments may result in the provision of some goods or services to the transferor, they do not give the transferor a claim to receive directly benefits of approximately equal value. Receipt and sacrifice of approximately equal value may occur, but only by coincidence. For example, governments are not obliged to provide commensurate benefits, in the form of goods or services, to particular taxpayers in return for their taxes. For this reason, grants are referred to by the AASB as involuntary transfers and are termed non-reciprocal transfers.</w:t>
      </w:r>
    </w:p>
    <w:p w14:paraId="16E05994" w14:textId="77777777" w:rsidR="005D72AE" w:rsidRPr="00844A25" w:rsidRDefault="005D72AE" w:rsidP="005D72AE">
      <w:pPr>
        <w:rPr>
          <w:lang w:val="en-US"/>
        </w:rPr>
      </w:pPr>
      <w:r w:rsidRPr="00844A25">
        <w:rPr>
          <w:lang w:val="en-US"/>
        </w:rPr>
        <w:t>Grants can be paid as general purpose grants which refer to grants that are not subject to conditions regarding their use. Alternatively, they may be paid as specific purpose grants which are paid for a particular purpose and/or have conditions attached regarding their use.</w:t>
      </w:r>
    </w:p>
    <w:p w14:paraId="37D94082" w14:textId="77777777" w:rsidR="005D72AE" w:rsidRPr="00844A25" w:rsidRDefault="005D72AE" w:rsidP="005D72AE">
      <w:pPr>
        <w:rPr>
          <w:b/>
          <w:bCs/>
          <w:lang w:val="en-US"/>
        </w:rPr>
      </w:pPr>
      <w:r w:rsidRPr="00844A25">
        <w:rPr>
          <w:b/>
          <w:bCs/>
          <w:lang w:val="en-US"/>
        </w:rPr>
        <w:t>Interest expense</w:t>
      </w:r>
    </w:p>
    <w:p w14:paraId="248C887B" w14:textId="77777777" w:rsidR="005D72AE" w:rsidRPr="00844A25" w:rsidRDefault="005D72AE" w:rsidP="005D72AE">
      <w:pPr>
        <w:rPr>
          <w:lang w:val="en-US"/>
        </w:rPr>
      </w:pPr>
      <w:r w:rsidRPr="00844A25">
        <w:rPr>
          <w:lang w:val="en-US"/>
        </w:rPr>
        <w:t>Costs incurred in connection with the borrowing of funds. Interest expense includes interest on bank overdrafts and short term and long term borrowings, amortisation of discounts or premiums relating</w:t>
      </w:r>
      <w:r>
        <w:rPr>
          <w:lang w:val="en-US"/>
        </w:rPr>
        <w:t xml:space="preserve"> </w:t>
      </w:r>
      <w:r w:rsidRPr="00844A25">
        <w:rPr>
          <w:lang w:val="en-US"/>
        </w:rPr>
        <w:t>to borrowings, interest component of finance leases repayments, and the increase in financial liabilities</w:t>
      </w:r>
      <w:r>
        <w:rPr>
          <w:lang w:val="en-US"/>
        </w:rPr>
        <w:t xml:space="preserve"> </w:t>
      </w:r>
      <w:r w:rsidRPr="00844A25">
        <w:rPr>
          <w:lang w:val="en-US"/>
        </w:rPr>
        <w:t>and non-employee provisions due to the unwinding of discounts to reflect the passage of time.</w:t>
      </w:r>
    </w:p>
    <w:p w14:paraId="3E5C9493" w14:textId="77777777" w:rsidR="005D72AE" w:rsidRPr="00844A25" w:rsidRDefault="005D72AE" w:rsidP="005D72AE">
      <w:pPr>
        <w:rPr>
          <w:b/>
          <w:bCs/>
          <w:lang w:val="en-US"/>
        </w:rPr>
      </w:pPr>
      <w:r w:rsidRPr="00844A25">
        <w:rPr>
          <w:b/>
          <w:bCs/>
          <w:lang w:val="en-US"/>
        </w:rPr>
        <w:t>Leases</w:t>
      </w:r>
    </w:p>
    <w:p w14:paraId="00BCA698" w14:textId="77777777" w:rsidR="005D72AE" w:rsidRPr="00844A25" w:rsidRDefault="005D72AE" w:rsidP="005D72AE">
      <w:pPr>
        <w:rPr>
          <w:lang w:val="en-US"/>
        </w:rPr>
      </w:pPr>
      <w:r w:rsidRPr="00844A25">
        <w:rPr>
          <w:lang w:val="en-US"/>
        </w:rPr>
        <w:lastRenderedPageBreak/>
        <w:t>Leases are rights conveyed in a contract, or part of a contract, the right to use an asset (the underlying asset) for a period of time in exchange for consideration.</w:t>
      </w:r>
    </w:p>
    <w:p w14:paraId="604FCADE" w14:textId="77777777" w:rsidR="005D72AE" w:rsidRPr="00844A25" w:rsidRDefault="005D72AE" w:rsidP="005D72AE">
      <w:pPr>
        <w:rPr>
          <w:b/>
          <w:bCs/>
          <w:lang w:val="en-US"/>
        </w:rPr>
      </w:pPr>
      <w:r w:rsidRPr="00844A25">
        <w:rPr>
          <w:b/>
          <w:bCs/>
          <w:lang w:val="en-US"/>
        </w:rPr>
        <w:t>Net result</w:t>
      </w:r>
    </w:p>
    <w:p w14:paraId="70268296" w14:textId="77777777" w:rsidR="005D72AE" w:rsidRPr="00844A25" w:rsidRDefault="005D72AE" w:rsidP="005D72AE">
      <w:pPr>
        <w:rPr>
          <w:lang w:val="en-US"/>
        </w:rPr>
      </w:pPr>
      <w:r w:rsidRPr="00844A25">
        <w:rPr>
          <w:lang w:val="en-US"/>
        </w:rPr>
        <w:t>Net result is a measure of financial performance of the operations for the period. It is the net result of items</w:t>
      </w:r>
      <w:r>
        <w:rPr>
          <w:lang w:val="en-US"/>
        </w:rPr>
        <w:t xml:space="preserve"> </w:t>
      </w:r>
      <w:r w:rsidRPr="00844A25">
        <w:rPr>
          <w:lang w:val="en-US"/>
        </w:rPr>
        <w:t>of income, gains and expenses (including losses) recognised for the period, excluding those that are classified as ‘other economic flows – other comprehensive income’.</w:t>
      </w:r>
    </w:p>
    <w:p w14:paraId="106C94EE" w14:textId="77777777" w:rsidR="005D72AE" w:rsidRPr="00844A25" w:rsidRDefault="005D72AE" w:rsidP="005D72AE">
      <w:pPr>
        <w:rPr>
          <w:b/>
          <w:bCs/>
          <w:lang w:val="en-US"/>
        </w:rPr>
      </w:pPr>
      <w:r w:rsidRPr="00844A25">
        <w:rPr>
          <w:b/>
          <w:bCs/>
          <w:lang w:val="en-US"/>
        </w:rPr>
        <w:t>Net result from transactions</w:t>
      </w:r>
    </w:p>
    <w:p w14:paraId="309A193F" w14:textId="77777777" w:rsidR="005D72AE" w:rsidRPr="00844A25" w:rsidRDefault="005D72AE" w:rsidP="005D72AE">
      <w:pPr>
        <w:rPr>
          <w:lang w:val="en-US"/>
        </w:rPr>
      </w:pPr>
      <w:r w:rsidRPr="00844A25">
        <w:rPr>
          <w:lang w:val="en-US"/>
        </w:rPr>
        <w:t>Net result from transactions or net operating balance is a key fiscal aggregate and is revenue from transactions minus expenses from transactions. It is a summary measure of the ongoing sustainability</w:t>
      </w:r>
      <w:r>
        <w:rPr>
          <w:lang w:val="en-US"/>
        </w:rPr>
        <w:t xml:space="preserve"> </w:t>
      </w:r>
      <w:r w:rsidRPr="00844A25">
        <w:rPr>
          <w:lang w:val="en-US"/>
        </w:rPr>
        <w:t>of operations. It excludes gains and losses resulting from changes in price levels and other changes in</w:t>
      </w:r>
      <w:r>
        <w:rPr>
          <w:lang w:val="en-US"/>
        </w:rPr>
        <w:t xml:space="preserve"> </w:t>
      </w:r>
      <w:r w:rsidRPr="00844A25">
        <w:rPr>
          <w:lang w:val="en-US"/>
        </w:rPr>
        <w:t>the volume of assets. It is the component of the change in net worth that is due to transactions and can</w:t>
      </w:r>
      <w:r>
        <w:rPr>
          <w:lang w:val="en-US"/>
        </w:rPr>
        <w:t xml:space="preserve"> </w:t>
      </w:r>
      <w:r w:rsidRPr="00844A25">
        <w:rPr>
          <w:lang w:val="en-US"/>
        </w:rPr>
        <w:t>be attributed directly to government policies.</w:t>
      </w:r>
    </w:p>
    <w:p w14:paraId="22C754DD" w14:textId="77777777" w:rsidR="005D72AE" w:rsidRPr="00844A25" w:rsidRDefault="005D72AE" w:rsidP="005D72AE">
      <w:pPr>
        <w:rPr>
          <w:b/>
          <w:bCs/>
          <w:lang w:val="en-US"/>
        </w:rPr>
      </w:pPr>
      <w:r w:rsidRPr="00844A25">
        <w:rPr>
          <w:b/>
          <w:bCs/>
          <w:lang w:val="en-US"/>
        </w:rPr>
        <w:t>Non-financial assets</w:t>
      </w:r>
    </w:p>
    <w:p w14:paraId="540F66FE" w14:textId="77777777" w:rsidR="005D72AE" w:rsidRPr="00844A25" w:rsidRDefault="005D72AE" w:rsidP="005D72AE">
      <w:pPr>
        <w:rPr>
          <w:lang w:val="en-US"/>
        </w:rPr>
      </w:pPr>
      <w:r w:rsidRPr="00844A25">
        <w:rPr>
          <w:lang w:val="en-US"/>
        </w:rPr>
        <w:t>Non-financial assets are all assets that are not ‘financial assets’.</w:t>
      </w:r>
    </w:p>
    <w:p w14:paraId="6DEF0DC4" w14:textId="77777777" w:rsidR="005D72AE" w:rsidRPr="00844A25" w:rsidRDefault="005D72AE" w:rsidP="005D72AE">
      <w:pPr>
        <w:rPr>
          <w:b/>
          <w:bCs/>
          <w:lang w:val="en-US"/>
        </w:rPr>
      </w:pPr>
      <w:r w:rsidRPr="00844A25">
        <w:rPr>
          <w:b/>
          <w:bCs/>
          <w:lang w:val="en-US"/>
        </w:rPr>
        <w:t>Other economic flows included in net result</w:t>
      </w:r>
    </w:p>
    <w:p w14:paraId="06EFFCD6" w14:textId="77777777" w:rsidR="005D72AE" w:rsidRPr="00844A25" w:rsidRDefault="005D72AE" w:rsidP="005D72AE">
      <w:pPr>
        <w:rPr>
          <w:lang w:val="en-US"/>
        </w:rPr>
      </w:pPr>
      <w:r w:rsidRPr="00844A25">
        <w:rPr>
          <w:lang w:val="en-US"/>
        </w:rPr>
        <w:t>Other economic flows included in net result are changes in the volume or value of an asset or liability that</w:t>
      </w:r>
      <w:r>
        <w:rPr>
          <w:lang w:val="en-US"/>
        </w:rPr>
        <w:t xml:space="preserve"> </w:t>
      </w:r>
      <w:r w:rsidRPr="00844A25">
        <w:rPr>
          <w:lang w:val="en-US"/>
        </w:rPr>
        <w:t>do not result from transactions. They include gains and losses from disposal, revaluation and impairment of non-current physical and intangible assets; actuarial gains and losses arising from defined benefit superannuation plans and fair value changes of financial instruments. In simple terms, they are changes arising from market re-measurements.</w:t>
      </w:r>
    </w:p>
    <w:p w14:paraId="3FC34F1F" w14:textId="77777777" w:rsidR="005D72AE" w:rsidRPr="00844A25" w:rsidRDefault="005D72AE" w:rsidP="005D72AE">
      <w:pPr>
        <w:rPr>
          <w:b/>
          <w:bCs/>
          <w:lang w:val="en-US"/>
        </w:rPr>
      </w:pPr>
      <w:r w:rsidRPr="00844A25">
        <w:rPr>
          <w:b/>
          <w:bCs/>
          <w:lang w:val="en-US"/>
        </w:rPr>
        <w:t>Other economic flows - other comprehensive income</w:t>
      </w:r>
    </w:p>
    <w:p w14:paraId="42BF26A3" w14:textId="77777777" w:rsidR="005D72AE" w:rsidRPr="00844A25" w:rsidRDefault="005D72AE" w:rsidP="005D72AE">
      <w:pPr>
        <w:rPr>
          <w:lang w:val="en-US"/>
        </w:rPr>
      </w:pPr>
      <w:r w:rsidRPr="00844A25">
        <w:rPr>
          <w:lang w:val="en-US"/>
        </w:rPr>
        <w:t>Other economic flows - other comprehensive income comprises items (including reclassification adjustments) that are not recognised in net result. The components of ‘other economic flows - other comprehensive income’ include changes in physical asset revaluation surplus.</w:t>
      </w:r>
    </w:p>
    <w:p w14:paraId="3A3A14E8" w14:textId="77777777" w:rsidR="005D72AE" w:rsidRPr="00844A25" w:rsidRDefault="005D72AE" w:rsidP="005D72AE">
      <w:pPr>
        <w:rPr>
          <w:b/>
          <w:bCs/>
          <w:lang w:val="en-US"/>
        </w:rPr>
      </w:pPr>
      <w:r w:rsidRPr="00844A25">
        <w:rPr>
          <w:b/>
          <w:bCs/>
          <w:lang w:val="en-US"/>
        </w:rPr>
        <w:t>Payables</w:t>
      </w:r>
    </w:p>
    <w:p w14:paraId="6140CC04" w14:textId="77777777" w:rsidR="005D72AE" w:rsidRPr="00844A25" w:rsidRDefault="005D72AE" w:rsidP="005D72AE">
      <w:pPr>
        <w:rPr>
          <w:lang w:val="en-US"/>
        </w:rPr>
      </w:pPr>
      <w:r w:rsidRPr="00844A25">
        <w:rPr>
          <w:lang w:val="en-US"/>
        </w:rPr>
        <w:t>Includes short and long term trade debt and accounts payable, grants and interest payable.</w:t>
      </w:r>
    </w:p>
    <w:p w14:paraId="0DDF9717" w14:textId="77777777" w:rsidR="005D72AE" w:rsidRPr="00844A25" w:rsidRDefault="005D72AE" w:rsidP="005D72AE">
      <w:pPr>
        <w:rPr>
          <w:b/>
          <w:bCs/>
          <w:lang w:val="en-US"/>
        </w:rPr>
      </w:pPr>
      <w:r w:rsidRPr="00844A25">
        <w:rPr>
          <w:b/>
          <w:bCs/>
          <w:lang w:val="en-US"/>
        </w:rPr>
        <w:t>Receivables</w:t>
      </w:r>
    </w:p>
    <w:p w14:paraId="55B3F478" w14:textId="77777777" w:rsidR="005D72AE" w:rsidRPr="00844A25" w:rsidRDefault="005D72AE" w:rsidP="005D72AE">
      <w:pPr>
        <w:rPr>
          <w:lang w:val="en-US"/>
        </w:rPr>
      </w:pPr>
      <w:r w:rsidRPr="00844A25">
        <w:rPr>
          <w:lang w:val="en-US"/>
        </w:rPr>
        <w:t>Includes short and long term trade credit and accounts receivable, grants, taxes and interest receivable.</w:t>
      </w:r>
    </w:p>
    <w:p w14:paraId="73B67263" w14:textId="77777777" w:rsidR="005D72AE" w:rsidRPr="00844A25" w:rsidRDefault="005D72AE" w:rsidP="005D72AE">
      <w:pPr>
        <w:pageBreakBefore/>
        <w:rPr>
          <w:b/>
          <w:bCs/>
          <w:lang w:val="en-US"/>
        </w:rPr>
      </w:pPr>
      <w:r w:rsidRPr="00844A25">
        <w:rPr>
          <w:b/>
          <w:bCs/>
          <w:lang w:val="en-US"/>
        </w:rPr>
        <w:lastRenderedPageBreak/>
        <w:t>Supplies and services</w:t>
      </w:r>
    </w:p>
    <w:p w14:paraId="394F3527" w14:textId="77777777" w:rsidR="005D72AE" w:rsidRPr="00844A25" w:rsidRDefault="005D72AE" w:rsidP="005D72AE">
      <w:pPr>
        <w:rPr>
          <w:lang w:val="en-US"/>
        </w:rPr>
      </w:pPr>
      <w:r w:rsidRPr="00844A25">
        <w:rPr>
          <w:lang w:val="en-US"/>
        </w:rPr>
        <w:t xml:space="preserve">Supplies and services generally represent cost of goods sold and the day to day running costs, including maintenance costs, incurred in the normal operations of the entity. </w:t>
      </w:r>
    </w:p>
    <w:p w14:paraId="2EB6F64E" w14:textId="77777777" w:rsidR="005D72AE" w:rsidRPr="00844A25" w:rsidRDefault="005D72AE" w:rsidP="005D72AE">
      <w:pPr>
        <w:rPr>
          <w:b/>
          <w:bCs/>
          <w:lang w:val="en-US"/>
        </w:rPr>
      </w:pPr>
      <w:r w:rsidRPr="00844A25">
        <w:rPr>
          <w:b/>
          <w:bCs/>
          <w:lang w:val="en-US"/>
        </w:rPr>
        <w:t>Transactions</w:t>
      </w:r>
    </w:p>
    <w:p w14:paraId="3C13DFB5" w14:textId="77777777" w:rsidR="005D72AE" w:rsidRPr="00844A25" w:rsidRDefault="005D72AE" w:rsidP="005D72AE">
      <w:pPr>
        <w:rPr>
          <w:lang w:val="en-US"/>
        </w:rPr>
      </w:pPr>
      <w:r w:rsidRPr="00844A25">
        <w:rPr>
          <w:lang w:val="en-US"/>
        </w:rPr>
        <w:t>Transactions are those economic flows that are considered to arise as a result of policy decisions, usually an interaction between two entities by mutual agreement. They also include flows within an entity such as depreciation where the owner is simultaneously acting as the owner of the depreciating asset and as the consumer of the service provided by the asset. Taxation is regarded as mutually agreed interactions between the government and taxpayers. Transactions can be in kind (e.g. assets provided/given free of charge or</w:t>
      </w:r>
      <w:r>
        <w:rPr>
          <w:lang w:val="en-US"/>
        </w:rPr>
        <w:t xml:space="preserve"> </w:t>
      </w:r>
      <w:r w:rsidRPr="00844A25">
        <w:rPr>
          <w:lang w:val="en-US"/>
        </w:rPr>
        <w:t>for nominal consideration) or where the final consideration is cash. In simple terms, transactions arise from</w:t>
      </w:r>
      <w:r>
        <w:rPr>
          <w:lang w:val="en-US"/>
        </w:rPr>
        <w:t xml:space="preserve"> </w:t>
      </w:r>
      <w:r w:rsidRPr="00844A25">
        <w:rPr>
          <w:lang w:val="en-US"/>
        </w:rPr>
        <w:t>the policy decisions of the government.</w:t>
      </w:r>
    </w:p>
    <w:p w14:paraId="71F3D5B6" w14:textId="77777777" w:rsidR="004309BF" w:rsidRPr="005D72AE" w:rsidRDefault="004309BF" w:rsidP="005D72AE">
      <w:pPr>
        <w:rPr>
          <w:lang w:val="en-US"/>
        </w:rPr>
      </w:pPr>
    </w:p>
    <w:sectPr w:rsidR="004309BF" w:rsidRPr="005D72AE" w:rsidSect="0064367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1CB71" w14:textId="77777777" w:rsidR="005D72AE" w:rsidRDefault="005D72AE" w:rsidP="00AE03FA">
      <w:pPr>
        <w:spacing w:after="0"/>
      </w:pPr>
      <w:r>
        <w:separator/>
      </w:r>
    </w:p>
    <w:p w14:paraId="6AE65E9A" w14:textId="77777777" w:rsidR="005D72AE" w:rsidRDefault="005D72AE"/>
  </w:endnote>
  <w:endnote w:type="continuationSeparator" w:id="0">
    <w:p w14:paraId="74B6A935" w14:textId="77777777" w:rsidR="005D72AE" w:rsidRDefault="005D72AE" w:rsidP="00AE03FA">
      <w:pPr>
        <w:spacing w:after="0"/>
      </w:pPr>
      <w:r>
        <w:continuationSeparator/>
      </w:r>
    </w:p>
    <w:p w14:paraId="1E864334" w14:textId="77777777" w:rsidR="005D72AE" w:rsidRDefault="005D7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HelveticaNeueLTStd-Md">
    <w:altName w:val="Arial"/>
    <w:panose1 w:val="00000000000000000000"/>
    <w:charset w:val="4D"/>
    <w:family w:val="auto"/>
    <w:notTrueType/>
    <w:pitch w:val="default"/>
    <w:sig w:usb0="00000003" w:usb1="00000000" w:usb2="00000000" w:usb3="00000000" w:csb0="00000001" w:csb1="00000000"/>
  </w:font>
  <w:font w:name="HelveticaNeueLTStd-Lt">
    <w:altName w:val="Arial"/>
    <w:panose1 w:val="00000000000000000000"/>
    <w:charset w:val="4D"/>
    <w:family w:val="auto"/>
    <w:notTrueType/>
    <w:pitch w:val="default"/>
    <w:sig w:usb0="00000003" w:usb1="00000000" w:usb2="00000000" w:usb3="00000000" w:csb0="00000001" w:csb1="00000000"/>
  </w:font>
  <w:font w:name="BlissPro">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127DC" w14:textId="77777777" w:rsidR="00AC2016" w:rsidRDefault="00AC2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2936992A" w14:textId="77777777" w:rsidTr="00045413">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249EDDA" w14:textId="77777777" w:rsidR="00440B1F" w:rsidRPr="009E15D6" w:rsidRDefault="00440B1F" w:rsidP="0004541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7D4A87">
            <w:rPr>
              <w:rStyle w:val="PageNumber"/>
              <w:noProof/>
            </w:rPr>
            <w:t>2</w:t>
          </w:r>
          <w:r w:rsidRPr="009E15D6">
            <w:rPr>
              <w:rStyle w:val="PageNumber"/>
            </w:rPr>
            <w:fldChar w:fldCharType="end"/>
          </w:r>
        </w:p>
      </w:tc>
    </w:tr>
  </w:tbl>
  <w:p w14:paraId="2E9EB959" w14:textId="77777777" w:rsidR="00CF34A7" w:rsidRPr="00440B1F" w:rsidRDefault="00440B1F" w:rsidP="00AC2016">
    <w:pPr>
      <w:pStyle w:val="Footer"/>
      <w:ind w:right="707"/>
      <w:rPr>
        <w:b/>
      </w:rPr>
    </w:pPr>
    <w:r>
      <w:t xml:space="preserve">Essential Services Commission </w:t>
    </w:r>
    <w:sdt>
      <w:sdtPr>
        <w:rPr>
          <w:b/>
        </w:rPr>
        <w:alias w:val="Title"/>
        <w:tag w:val=""/>
        <w:id w:val="-145122857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AD2E14">
          <w:rPr>
            <w:b/>
            <w:highlight w:val="lightGray"/>
          </w:rPr>
          <w:t>[Title]</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D68A6" w14:paraId="18F7FD16" w14:textId="77777777" w:rsidTr="005E5734">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221E26A" w14:textId="77777777" w:rsidR="008D68A6" w:rsidRPr="009E15D6" w:rsidRDefault="008D68A6" w:rsidP="005E5734">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7D4A87">
            <w:rPr>
              <w:rStyle w:val="PageNumber"/>
              <w:noProof/>
            </w:rPr>
            <w:t>1</w:t>
          </w:r>
          <w:r w:rsidRPr="009E15D6">
            <w:rPr>
              <w:rStyle w:val="PageNumber"/>
            </w:rPr>
            <w:fldChar w:fldCharType="end"/>
          </w:r>
        </w:p>
      </w:tc>
    </w:tr>
  </w:tbl>
  <w:p w14:paraId="7CB50324" w14:textId="77777777" w:rsidR="0064367E" w:rsidRPr="008D68A6" w:rsidRDefault="008D68A6" w:rsidP="00AC2016">
    <w:pPr>
      <w:pStyle w:val="Footer"/>
      <w:ind w:right="707"/>
      <w:rPr>
        <w:b/>
      </w:rPr>
    </w:pPr>
    <w:r>
      <w:t xml:space="preserve">Essential Services Commission </w:t>
    </w:r>
    <w:sdt>
      <w:sdtPr>
        <w:rPr>
          <w:b/>
        </w:rPr>
        <w:alias w:val="Title"/>
        <w:tag w:val=""/>
        <w:id w:val="1814057343"/>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AD2E14">
          <w:rPr>
            <w:b/>
            <w:highlight w:val="lightGray"/>
          </w:rPr>
          <w:t>[Title]</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6579B" w14:textId="77777777" w:rsidR="005D72AE" w:rsidRPr="00CF33F6" w:rsidRDefault="005D72AE" w:rsidP="00AE03FA">
      <w:pPr>
        <w:spacing w:after="0"/>
        <w:rPr>
          <w:color w:val="75787B" w:themeColor="background2"/>
        </w:rPr>
      </w:pPr>
      <w:bookmarkStart w:id="0" w:name="_Hlk480978878"/>
      <w:bookmarkEnd w:id="0"/>
      <w:r w:rsidRPr="00CF33F6">
        <w:rPr>
          <w:color w:val="75787B" w:themeColor="background2"/>
        </w:rPr>
        <w:separator/>
      </w:r>
    </w:p>
    <w:p w14:paraId="606BBC8F" w14:textId="77777777" w:rsidR="005D72AE" w:rsidRDefault="005D72AE" w:rsidP="00CF33F6">
      <w:pPr>
        <w:pStyle w:val="NoSpacing"/>
      </w:pPr>
    </w:p>
  </w:footnote>
  <w:footnote w:type="continuationSeparator" w:id="0">
    <w:p w14:paraId="11462A24" w14:textId="77777777" w:rsidR="005D72AE" w:rsidRDefault="005D72AE" w:rsidP="00AE03FA">
      <w:pPr>
        <w:spacing w:after="0"/>
      </w:pPr>
      <w:r>
        <w:continuationSeparator/>
      </w:r>
    </w:p>
    <w:p w14:paraId="4BCB6BA3" w14:textId="77777777" w:rsidR="005D72AE" w:rsidRDefault="005D72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34195" w14:textId="77777777" w:rsidR="00AC2016" w:rsidRDefault="00AC2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A61CA" w14:textId="77777777" w:rsidR="003A30F3" w:rsidRPr="00633068" w:rsidRDefault="003A30F3" w:rsidP="00633068">
    <w:pPr>
      <w:pStyle w:val="Header"/>
      <w:tabs>
        <w:tab w:val="clear" w:pos="4680"/>
        <w:tab w:val="clear" w:pos="9360"/>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FFC99" w14:textId="77777777" w:rsidR="0064367E" w:rsidRDefault="0064367E">
    <w:pPr>
      <w:pStyle w:val="Header"/>
    </w:pPr>
    <w:r>
      <w:rPr>
        <w:noProof/>
      </w:rPr>
      <w:drawing>
        <wp:anchor distT="0" distB="180340" distL="114300" distR="114300" simplePos="0" relativeHeight="251659264" behindDoc="0" locked="0" layoutInCell="1" allowOverlap="1" wp14:anchorId="6C60CDDE" wp14:editId="58C6B3F6">
          <wp:simplePos x="0" y="0"/>
          <wp:positionH relativeFrom="column">
            <wp:posOffset>-4445</wp:posOffset>
          </wp:positionH>
          <wp:positionV relativeFrom="paragraph">
            <wp:posOffset>263525</wp:posOffset>
          </wp:positionV>
          <wp:extent cx="2653030" cy="82423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030" cy="8242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D61023"/>
    <w:multiLevelType w:val="hybridMultilevel"/>
    <w:tmpl w:val="85E423C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3C049B"/>
    <w:multiLevelType w:val="multilevel"/>
    <w:tmpl w:val="6D9A2BC2"/>
    <w:numStyleLink w:val="NumberedHeadings"/>
  </w:abstractNum>
  <w:abstractNum w:abstractNumId="4"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8B0109"/>
    <w:multiLevelType w:val="multilevel"/>
    <w:tmpl w:val="3D66CBA2"/>
    <w:numStyleLink w:val="CustomNumberlist"/>
  </w:abstractNum>
  <w:abstractNum w:abstractNumId="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5"/>
  </w:num>
  <w:num w:numId="3">
    <w:abstractNumId w:val="4"/>
  </w:num>
  <w:num w:numId="4">
    <w:abstractNumId w:val="6"/>
  </w:num>
  <w:num w:numId="5">
    <w:abstractNumId w:val="8"/>
  </w:num>
  <w:num w:numId="6">
    <w:abstractNumId w:val="3"/>
  </w:num>
  <w:num w:numId="7">
    <w:abstractNumId w:val="7"/>
  </w:num>
  <w:num w:numId="8">
    <w:abstractNumId w:val="2"/>
  </w:num>
  <w:num w:numId="9">
    <w:abstractNumId w:val="9"/>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AE"/>
    <w:rsid w:val="000046BD"/>
    <w:rsid w:val="00015588"/>
    <w:rsid w:val="0001759C"/>
    <w:rsid w:val="000518F3"/>
    <w:rsid w:val="000566E0"/>
    <w:rsid w:val="00062AE4"/>
    <w:rsid w:val="00066664"/>
    <w:rsid w:val="00067DD9"/>
    <w:rsid w:val="000A1292"/>
    <w:rsid w:val="000A759D"/>
    <w:rsid w:val="000A7FD9"/>
    <w:rsid w:val="000D4547"/>
    <w:rsid w:val="00106608"/>
    <w:rsid w:val="00150052"/>
    <w:rsid w:val="00153081"/>
    <w:rsid w:val="00160F48"/>
    <w:rsid w:val="00184CEF"/>
    <w:rsid w:val="001869B0"/>
    <w:rsid w:val="00187ACF"/>
    <w:rsid w:val="001A4ACF"/>
    <w:rsid w:val="001C750A"/>
    <w:rsid w:val="001D07CD"/>
    <w:rsid w:val="001E3CE3"/>
    <w:rsid w:val="001F3997"/>
    <w:rsid w:val="001F64A3"/>
    <w:rsid w:val="00204C88"/>
    <w:rsid w:val="002056BA"/>
    <w:rsid w:val="0022708E"/>
    <w:rsid w:val="00232581"/>
    <w:rsid w:val="00251145"/>
    <w:rsid w:val="002750C4"/>
    <w:rsid w:val="002966CE"/>
    <w:rsid w:val="002A059D"/>
    <w:rsid w:val="002C2ADF"/>
    <w:rsid w:val="002D3B02"/>
    <w:rsid w:val="002D682B"/>
    <w:rsid w:val="002E48AC"/>
    <w:rsid w:val="00317C67"/>
    <w:rsid w:val="00344D56"/>
    <w:rsid w:val="00353663"/>
    <w:rsid w:val="00360763"/>
    <w:rsid w:val="00375CBF"/>
    <w:rsid w:val="00375EFC"/>
    <w:rsid w:val="003837CC"/>
    <w:rsid w:val="003904B9"/>
    <w:rsid w:val="00394187"/>
    <w:rsid w:val="00395CFE"/>
    <w:rsid w:val="003A16E1"/>
    <w:rsid w:val="003A2748"/>
    <w:rsid w:val="003A30F3"/>
    <w:rsid w:val="003C39F4"/>
    <w:rsid w:val="003C62B6"/>
    <w:rsid w:val="003F1961"/>
    <w:rsid w:val="003F66EC"/>
    <w:rsid w:val="004064CD"/>
    <w:rsid w:val="00414AB9"/>
    <w:rsid w:val="0043066B"/>
    <w:rsid w:val="004309BF"/>
    <w:rsid w:val="00440B1F"/>
    <w:rsid w:val="00453AD0"/>
    <w:rsid w:val="004558CC"/>
    <w:rsid w:val="0046312A"/>
    <w:rsid w:val="00474670"/>
    <w:rsid w:val="00484F2D"/>
    <w:rsid w:val="004855CE"/>
    <w:rsid w:val="00495E2E"/>
    <w:rsid w:val="00496CF9"/>
    <w:rsid w:val="004A05CB"/>
    <w:rsid w:val="004E0FF2"/>
    <w:rsid w:val="0050064B"/>
    <w:rsid w:val="005014C6"/>
    <w:rsid w:val="00541F9A"/>
    <w:rsid w:val="00545E3C"/>
    <w:rsid w:val="0056203A"/>
    <w:rsid w:val="00563AD8"/>
    <w:rsid w:val="00564BE8"/>
    <w:rsid w:val="00570E5B"/>
    <w:rsid w:val="005A1443"/>
    <w:rsid w:val="005C6E04"/>
    <w:rsid w:val="005D72AE"/>
    <w:rsid w:val="005E2A78"/>
    <w:rsid w:val="005E2E03"/>
    <w:rsid w:val="005F3D90"/>
    <w:rsid w:val="005F5578"/>
    <w:rsid w:val="00615C49"/>
    <w:rsid w:val="00633068"/>
    <w:rsid w:val="0063494B"/>
    <w:rsid w:val="006415DC"/>
    <w:rsid w:val="0064367E"/>
    <w:rsid w:val="00666190"/>
    <w:rsid w:val="006817B0"/>
    <w:rsid w:val="006C4904"/>
    <w:rsid w:val="006D0A5E"/>
    <w:rsid w:val="006D4CD9"/>
    <w:rsid w:val="006E6549"/>
    <w:rsid w:val="006E6B2B"/>
    <w:rsid w:val="006F29EA"/>
    <w:rsid w:val="00703C67"/>
    <w:rsid w:val="00707B2F"/>
    <w:rsid w:val="00710792"/>
    <w:rsid w:val="00711BA5"/>
    <w:rsid w:val="0071799F"/>
    <w:rsid w:val="00717CCA"/>
    <w:rsid w:val="007202C6"/>
    <w:rsid w:val="00740720"/>
    <w:rsid w:val="00747563"/>
    <w:rsid w:val="00750535"/>
    <w:rsid w:val="00754368"/>
    <w:rsid w:val="00757301"/>
    <w:rsid w:val="00764333"/>
    <w:rsid w:val="00772EB1"/>
    <w:rsid w:val="00781227"/>
    <w:rsid w:val="00782E55"/>
    <w:rsid w:val="00784DEB"/>
    <w:rsid w:val="00792B10"/>
    <w:rsid w:val="00796928"/>
    <w:rsid w:val="007A5734"/>
    <w:rsid w:val="007B565F"/>
    <w:rsid w:val="007B6C8C"/>
    <w:rsid w:val="007C7E2D"/>
    <w:rsid w:val="007D495A"/>
    <w:rsid w:val="007D4A87"/>
    <w:rsid w:val="00865ECE"/>
    <w:rsid w:val="00881E07"/>
    <w:rsid w:val="00882783"/>
    <w:rsid w:val="008A7A8E"/>
    <w:rsid w:val="008B6874"/>
    <w:rsid w:val="008C1818"/>
    <w:rsid w:val="008D2C44"/>
    <w:rsid w:val="008D5E13"/>
    <w:rsid w:val="008D68A6"/>
    <w:rsid w:val="008F7087"/>
    <w:rsid w:val="009058B1"/>
    <w:rsid w:val="00916721"/>
    <w:rsid w:val="009230CE"/>
    <w:rsid w:val="00935EDD"/>
    <w:rsid w:val="00943BDE"/>
    <w:rsid w:val="00986CF3"/>
    <w:rsid w:val="009A4DB9"/>
    <w:rsid w:val="009B3ECA"/>
    <w:rsid w:val="009B583F"/>
    <w:rsid w:val="009C3565"/>
    <w:rsid w:val="009E15D6"/>
    <w:rsid w:val="009E2C7E"/>
    <w:rsid w:val="00A030DE"/>
    <w:rsid w:val="00A27C06"/>
    <w:rsid w:val="00A27D94"/>
    <w:rsid w:val="00A672AE"/>
    <w:rsid w:val="00A67A25"/>
    <w:rsid w:val="00A90C3B"/>
    <w:rsid w:val="00A93CAF"/>
    <w:rsid w:val="00AA5609"/>
    <w:rsid w:val="00AC2016"/>
    <w:rsid w:val="00AD29CB"/>
    <w:rsid w:val="00AD2E14"/>
    <w:rsid w:val="00AE03FA"/>
    <w:rsid w:val="00AE0C8F"/>
    <w:rsid w:val="00AE2C4D"/>
    <w:rsid w:val="00AF63AC"/>
    <w:rsid w:val="00B027ED"/>
    <w:rsid w:val="00B04857"/>
    <w:rsid w:val="00B37A15"/>
    <w:rsid w:val="00B503C2"/>
    <w:rsid w:val="00B52E6C"/>
    <w:rsid w:val="00B6173A"/>
    <w:rsid w:val="00B655D9"/>
    <w:rsid w:val="00B72AB0"/>
    <w:rsid w:val="00BC0E1F"/>
    <w:rsid w:val="00BD19DB"/>
    <w:rsid w:val="00BD24AA"/>
    <w:rsid w:val="00BD6DDE"/>
    <w:rsid w:val="00C03B3C"/>
    <w:rsid w:val="00C313B7"/>
    <w:rsid w:val="00C34EF4"/>
    <w:rsid w:val="00C36028"/>
    <w:rsid w:val="00C36E8A"/>
    <w:rsid w:val="00C41F42"/>
    <w:rsid w:val="00C45BF3"/>
    <w:rsid w:val="00C47364"/>
    <w:rsid w:val="00C54EEC"/>
    <w:rsid w:val="00C753B8"/>
    <w:rsid w:val="00C80CDA"/>
    <w:rsid w:val="00C848F1"/>
    <w:rsid w:val="00CB7FB8"/>
    <w:rsid w:val="00CE324D"/>
    <w:rsid w:val="00CF2B15"/>
    <w:rsid w:val="00CF33F6"/>
    <w:rsid w:val="00CF34A7"/>
    <w:rsid w:val="00D02383"/>
    <w:rsid w:val="00D23A3D"/>
    <w:rsid w:val="00D30FA8"/>
    <w:rsid w:val="00D3670C"/>
    <w:rsid w:val="00DA005C"/>
    <w:rsid w:val="00DA65A7"/>
    <w:rsid w:val="00DB79C6"/>
    <w:rsid w:val="00DC2B59"/>
    <w:rsid w:val="00DC3BE7"/>
    <w:rsid w:val="00E03B00"/>
    <w:rsid w:val="00E5390E"/>
    <w:rsid w:val="00E640D1"/>
    <w:rsid w:val="00E736EA"/>
    <w:rsid w:val="00E9393A"/>
    <w:rsid w:val="00E95D4A"/>
    <w:rsid w:val="00E96A82"/>
    <w:rsid w:val="00EA23C9"/>
    <w:rsid w:val="00EA47A3"/>
    <w:rsid w:val="00EB6E73"/>
    <w:rsid w:val="00EE3779"/>
    <w:rsid w:val="00EE5935"/>
    <w:rsid w:val="00EE6EBB"/>
    <w:rsid w:val="00F1136A"/>
    <w:rsid w:val="00F274F6"/>
    <w:rsid w:val="00F666F0"/>
    <w:rsid w:val="00F81408"/>
    <w:rsid w:val="00F83935"/>
    <w:rsid w:val="00F963FF"/>
    <w:rsid w:val="00FB2CF8"/>
    <w:rsid w:val="00FC5279"/>
    <w:rsid w:val="00FC6E2C"/>
    <w:rsid w:val="00FE077A"/>
    <w:rsid w:val="00FF62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3D557"/>
  <w15:docId w15:val="{4234B83D-7FC2-49B1-B11D-F54FFF61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8"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3" w:unhideWhenUsed="1" w:qFormat="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9" w:unhideWhenUsed="1"/>
    <w:lsdException w:name="List Bullet 4" w:semiHidden="1" w:uiPriority="9" w:unhideWhenUsed="1"/>
    <w:lsdException w:name="List Bullet 5" w:semiHidden="1" w:unhideWhenUsed="1"/>
    <w:lsdException w:name="List Number 2" w:semiHidden="1" w:uiPriority="3" w:unhideWhenUsed="1" w:qFormat="1"/>
    <w:lsdException w:name="List Number 3" w:semiHidden="1" w:uiPriority="3" w:unhideWhenUsed="1" w:qFormat="1"/>
    <w:lsdException w:name="List Number 4" w:semiHidden="1" w:uiPriority="9" w:unhideWhenUsed="1"/>
    <w:lsdException w:name="List Number 5" w:semiHidden="1" w:uiPriority="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5D72AE"/>
    <w:pPr>
      <w:keepLines/>
      <w:spacing w:before="120" w:after="120" w:line="276" w:lineRule="auto"/>
    </w:pPr>
    <w:rPr>
      <w:rFonts w:ascii="Arial" w:eastAsiaTheme="minorEastAsia" w:hAnsi="Arial" w:cs="Arial"/>
      <w:spacing w:val="-2"/>
      <w:sz w:val="24"/>
      <w:szCs w:val="20"/>
      <w:lang w:val="en-AU" w:eastAsia="en-AU"/>
    </w:rPr>
  </w:style>
  <w:style w:type="paragraph" w:styleId="Heading1">
    <w:name w:val="heading 1"/>
    <w:basedOn w:val="Normal"/>
    <w:next w:val="Normal"/>
    <w:link w:val="Heading1Char"/>
    <w:uiPriority w:val="1"/>
    <w:qFormat/>
    <w:rsid w:val="0056203A"/>
    <w:pPr>
      <w:keepNext/>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1"/>
    <w:unhideWhenUsed/>
    <w:qFormat/>
    <w:rsid w:val="0056203A"/>
    <w:pPr>
      <w:keepNext/>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1"/>
    <w:unhideWhenUsed/>
    <w:qFormat/>
    <w:rsid w:val="0056203A"/>
    <w:pPr>
      <w:keepNext/>
      <w:spacing w:before="20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1"/>
    <w:unhideWhenUsed/>
    <w:qFormat/>
    <w:rsid w:val="0056203A"/>
    <w:pPr>
      <w:keepNext/>
      <w:spacing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qFormat/>
    <w:rsid w:val="00E95D4A"/>
    <w:pPr>
      <w:keepNext/>
      <w:spacing w:before="200" w:after="0"/>
      <w:outlineLvl w:val="4"/>
    </w:pPr>
    <w:rPr>
      <w:rFonts w:asciiTheme="majorHAnsi" w:eastAsiaTheme="majorEastAsia" w:hAnsiTheme="majorHAnsi" w:cstheme="majorBidi"/>
      <w:i/>
      <w:color w:val="113048" w:themeColor="accent1" w:themeShade="7F"/>
    </w:rPr>
  </w:style>
  <w:style w:type="paragraph" w:styleId="Heading6">
    <w:name w:val="heading 6"/>
    <w:basedOn w:val="Normal"/>
    <w:next w:val="Normal"/>
    <w:link w:val="Heading6Char"/>
    <w:uiPriority w:val="9"/>
    <w:semiHidden/>
    <w:qFormat/>
    <w:rsid w:val="005D72AE"/>
    <w:pPr>
      <w:keepNext/>
      <w:spacing w:before="200" w:after="0"/>
      <w:outlineLvl w:val="5"/>
    </w:pPr>
    <w:rPr>
      <w:rFonts w:asciiTheme="majorHAnsi" w:eastAsiaTheme="majorEastAsia" w:hAnsiTheme="majorHAnsi" w:cstheme="majorBidi"/>
      <w:i/>
      <w:iCs/>
      <w:color w:val="113048" w:themeColor="accent1" w:themeShade="7F"/>
      <w:spacing w:val="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01759C"/>
    <w:rPr>
      <w:lang w:val="en-AU"/>
    </w:rPr>
  </w:style>
  <w:style w:type="paragraph" w:styleId="Footer">
    <w:name w:val="footer"/>
    <w:basedOn w:val="Normal"/>
    <w:link w:val="FooterChar"/>
    <w:uiPriority w:val="99"/>
    <w:unhideWhenUsed/>
    <w:rsid w:val="00A90C3B"/>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01759C"/>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99"/>
    <w:qFormat/>
    <w:rsid w:val="00E96A82"/>
    <w:pPr>
      <w:numPr>
        <w:ilvl w:val="1"/>
      </w:numPr>
      <w:spacing w:after="240"/>
    </w:pPr>
    <w:rPr>
      <w:color w:val="75787B" w:themeColor="background2"/>
      <w:sz w:val="28"/>
    </w:rPr>
  </w:style>
  <w:style w:type="character" w:customStyle="1" w:styleId="SubtitleChar">
    <w:name w:val="Subtitle Char"/>
    <w:basedOn w:val="DefaultParagraphFont"/>
    <w:link w:val="Subtitle"/>
    <w:uiPriority w:val="99"/>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5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1"/>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1"/>
    <w:rsid w:val="0056203A"/>
    <w:rPr>
      <w:rFonts w:ascii="Tahoma" w:eastAsiaTheme="majorEastAsia" w:hAnsi="Tahoma" w:cstheme="majorBidi"/>
      <w:b/>
      <w:sz w:val="26"/>
      <w:szCs w:val="26"/>
    </w:rPr>
  </w:style>
  <w:style w:type="paragraph" w:styleId="ListBullet">
    <w:name w:val="List Bullet"/>
    <w:basedOn w:val="Normal"/>
    <w:link w:val="ListBulletChar"/>
    <w:uiPriority w:val="3"/>
    <w:unhideWhenUsed/>
    <w:qFormat/>
    <w:rsid w:val="00DC2B59"/>
    <w:pPr>
      <w:numPr>
        <w:numId w:val="2"/>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uiPriority w:val="8"/>
    <w:qFormat/>
    <w:rsid w:val="005F5578"/>
    <w:pPr>
      <w:numPr>
        <w:numId w:val="6"/>
      </w:numPr>
    </w:pPr>
  </w:style>
  <w:style w:type="paragraph" w:customStyle="1" w:styleId="Heading2numbered">
    <w:name w:val="Heading 2 numbered"/>
    <w:basedOn w:val="Heading2"/>
    <w:next w:val="Normal"/>
    <w:uiPriority w:val="8"/>
    <w:qFormat/>
    <w:rsid w:val="005F5578"/>
    <w:pPr>
      <w:numPr>
        <w:ilvl w:val="1"/>
        <w:numId w:val="6"/>
      </w:numPr>
    </w:pPr>
  </w:style>
  <w:style w:type="numbering" w:customStyle="1" w:styleId="Bullet">
    <w:name w:val="Bullet"/>
    <w:uiPriority w:val="99"/>
    <w:rsid w:val="00DC2B59"/>
    <w:pPr>
      <w:numPr>
        <w:numId w:val="2"/>
      </w:numPr>
    </w:pPr>
  </w:style>
  <w:style w:type="numbering" w:customStyle="1" w:styleId="NumberedHeadings">
    <w:name w:val="Numbered Headings"/>
    <w:uiPriority w:val="99"/>
    <w:rsid w:val="005F5578"/>
    <w:pPr>
      <w:numPr>
        <w:numId w:val="3"/>
      </w:numPr>
    </w:pPr>
  </w:style>
  <w:style w:type="paragraph" w:styleId="ListBullet2">
    <w:name w:val="List Bullet 2"/>
    <w:basedOn w:val="Normal"/>
    <w:link w:val="ListBullet2Char"/>
    <w:uiPriority w:val="3"/>
    <w:unhideWhenUsed/>
    <w:qFormat/>
    <w:rsid w:val="00DC2B59"/>
    <w:pPr>
      <w:numPr>
        <w:ilvl w:val="1"/>
        <w:numId w:val="2"/>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01759C"/>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49"/>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1"/>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7D4A87"/>
    <w:pPr>
      <w:ind w:left="568" w:hanging="284"/>
    </w:pPr>
    <w:rPr>
      <w:b w:val="0"/>
      <w:noProof/>
    </w:rPr>
  </w:style>
  <w:style w:type="paragraph" w:styleId="TOC1">
    <w:name w:val="toc 1"/>
    <w:basedOn w:val="Normal"/>
    <w:next w:val="Normal"/>
    <w:autoRedefine/>
    <w:uiPriority w:val="39"/>
    <w:rsid w:val="007D4A87"/>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C54EEC"/>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1"/>
    <w:qFormat/>
    <w:rsid w:val="00DC2B59"/>
    <w:pPr>
      <w:numPr>
        <w:ilvl w:val="2"/>
        <w:numId w:val="2"/>
      </w:numPr>
      <w:contextualSpacing/>
    </w:pPr>
  </w:style>
  <w:style w:type="paragraph" w:styleId="ListBullet3">
    <w:name w:val="List Bullet 3"/>
    <w:basedOn w:val="Normal"/>
    <w:uiPriority w:val="9"/>
    <w:unhideWhenUsed/>
    <w:rsid w:val="00DC2B59"/>
    <w:pPr>
      <w:numPr>
        <w:ilvl w:val="3"/>
        <w:numId w:val="2"/>
      </w:numPr>
      <w:contextualSpacing/>
    </w:pPr>
  </w:style>
  <w:style w:type="paragraph" w:styleId="ListNumber">
    <w:name w:val="List Number"/>
    <w:basedOn w:val="Normal"/>
    <w:uiPriority w:val="3"/>
    <w:unhideWhenUsed/>
    <w:rsid w:val="006F29EA"/>
    <w:pPr>
      <w:numPr>
        <w:numId w:val="7"/>
      </w:numPr>
      <w:contextualSpacing/>
    </w:pPr>
  </w:style>
  <w:style w:type="paragraph" w:styleId="ListNumber2">
    <w:name w:val="List Number 2"/>
    <w:basedOn w:val="Normal"/>
    <w:uiPriority w:val="3"/>
    <w:unhideWhenUsed/>
    <w:qFormat/>
    <w:rsid w:val="006F29EA"/>
    <w:pPr>
      <w:numPr>
        <w:ilvl w:val="1"/>
        <w:numId w:val="7"/>
      </w:numPr>
      <w:contextualSpacing/>
    </w:pPr>
  </w:style>
  <w:style w:type="numbering" w:customStyle="1" w:styleId="CustomNumberlist">
    <w:name w:val="Custom Number list"/>
    <w:uiPriority w:val="99"/>
    <w:rsid w:val="006F29EA"/>
    <w:pPr>
      <w:numPr>
        <w:numId w:val="4"/>
      </w:numPr>
    </w:pPr>
  </w:style>
  <w:style w:type="paragraph" w:customStyle="1" w:styleId="ListLetters0">
    <w:name w:val="List Letters"/>
    <w:link w:val="ListLettersChar"/>
    <w:qFormat/>
    <w:rsid w:val="00A90C3B"/>
    <w:pPr>
      <w:numPr>
        <w:numId w:val="8"/>
      </w:numPr>
      <w:spacing w:before="160" w:line="336" w:lineRule="auto"/>
      <w:contextualSpacing/>
    </w:pPr>
  </w:style>
  <w:style w:type="paragraph" w:styleId="ListNumber3">
    <w:name w:val="List Number 3"/>
    <w:basedOn w:val="Normal"/>
    <w:link w:val="ListNumber3Char"/>
    <w:uiPriority w:val="3"/>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3"/>
    <w:rsid w:val="00DC2B59"/>
    <w:rPr>
      <w:rFonts w:ascii="Arial" w:eastAsiaTheme="minorEastAsia" w:hAnsi="Arial" w:cs="Arial"/>
      <w:spacing w:val="-2"/>
      <w:sz w:val="24"/>
      <w:szCs w:val="20"/>
      <w:lang w:val="en-AU" w:eastAsia="en-AU"/>
    </w:rPr>
  </w:style>
  <w:style w:type="character" w:customStyle="1" w:styleId="ListLettersChar">
    <w:name w:val="List Letters Char"/>
    <w:basedOn w:val="ListNumber3Char"/>
    <w:link w:val="ListLetters0"/>
    <w:rsid w:val="00A90C3B"/>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01759C"/>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qFormat/>
    <w:rsid w:val="007D4A87"/>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3"/>
    <w:rsid w:val="00E03B00"/>
    <w:rPr>
      <w:rFonts w:ascii="Arial" w:eastAsiaTheme="minorEastAsia" w:hAnsi="Arial" w:cs="Arial"/>
      <w:spacing w:val="-2"/>
      <w:sz w:val="24"/>
      <w:szCs w:val="20"/>
      <w:lang w:val="en-AU" w:eastAsia="en-AU"/>
    </w:rPr>
  </w:style>
  <w:style w:type="character" w:customStyle="1" w:styleId="TableBulletChar">
    <w:name w:val="Table Bullet Char"/>
    <w:basedOn w:val="ListBulletChar"/>
    <w:link w:val="TableBullet"/>
    <w:rsid w:val="00E03B00"/>
    <w:rPr>
      <w:rFonts w:ascii="Arial" w:eastAsiaTheme="minorEastAsia" w:hAnsi="Arial" w:cs="Arial"/>
      <w:spacing w:val="-2"/>
      <w:sz w:val="24"/>
      <w:szCs w:val="20"/>
      <w:lang w:val="en-AU" w:eastAsia="en-AU"/>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3"/>
    <w:rsid w:val="00E03B00"/>
    <w:rPr>
      <w:rFonts w:ascii="Arial" w:eastAsiaTheme="minorEastAsia" w:hAnsi="Arial" w:cs="Arial"/>
      <w:spacing w:val="-2"/>
      <w:sz w:val="24"/>
      <w:szCs w:val="20"/>
      <w:lang w:val="en-AU" w:eastAsia="en-AU"/>
    </w:rPr>
  </w:style>
  <w:style w:type="character" w:customStyle="1" w:styleId="TableBullet2Char">
    <w:name w:val="Table Bullet 2 Char"/>
    <w:basedOn w:val="ListBullet2Char"/>
    <w:link w:val="TableBullet2"/>
    <w:rsid w:val="00E03B00"/>
    <w:rPr>
      <w:rFonts w:ascii="Arial" w:eastAsiaTheme="minorEastAsia" w:hAnsi="Arial" w:cs="Arial"/>
      <w:spacing w:val="-2"/>
      <w:sz w:val="24"/>
      <w:szCs w:val="20"/>
      <w:lang w:val="en-AU" w:eastAsia="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rFonts w:ascii="Arial" w:eastAsiaTheme="minorEastAsia" w:hAnsi="Arial" w:cs="Arial"/>
      <w:spacing w:val="-2"/>
      <w:sz w:val="24"/>
      <w:szCs w:val="20"/>
      <w:lang w:val="en-AU" w:eastAsia="en-AU"/>
    </w:rPr>
  </w:style>
  <w:style w:type="character" w:customStyle="1" w:styleId="TableListNumber2Char">
    <w:name w:val="Table List Number 2 Char"/>
    <w:basedOn w:val="TableListNumberChar"/>
    <w:link w:val="TableListNumber2"/>
    <w:rsid w:val="00E03B00"/>
    <w:rPr>
      <w:rFonts w:ascii="Arial" w:eastAsiaTheme="minorEastAsia" w:hAnsi="Arial" w:cs="Arial"/>
      <w:spacing w:val="-2"/>
      <w:sz w:val="24"/>
      <w:szCs w:val="20"/>
      <w:lang w:val="en-AU" w:eastAsia="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numPr>
        <w:ilvl w:val="3"/>
        <w:numId w:val="6"/>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uiPriority w:val="8"/>
    <w:qFormat/>
    <w:rsid w:val="005F5578"/>
    <w:pPr>
      <w:numPr>
        <w:ilvl w:val="2"/>
        <w:numId w:val="6"/>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1"/>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uiPriority w:val="8"/>
    <w:rsid w:val="005F5578"/>
    <w:rPr>
      <w:rFonts w:ascii="Tahoma" w:eastAsiaTheme="majorEastAsia" w:hAnsi="Tahoma" w:cstheme="majorBidi"/>
      <w:b/>
      <w:color w:val="4986A0" w:themeColor="text2"/>
      <w:spacing w:val="-2"/>
      <w:sz w:val="24"/>
      <w:szCs w:val="24"/>
      <w:lang w:val="en-AU" w:eastAsia="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6"/>
    <w:unhideWhenUsed/>
    <w:qFormat/>
    <w:rsid w:val="00232581"/>
    <w:rPr>
      <w:iCs/>
      <w:color w:val="4986A0" w:themeColor="text2"/>
      <w:sz w:val="18"/>
      <w:szCs w:val="18"/>
    </w:rPr>
  </w:style>
  <w:style w:type="paragraph" w:customStyle="1" w:styleId="Source">
    <w:name w:val="Source"/>
    <w:basedOn w:val="Caption"/>
    <w:uiPriority w:val="51"/>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9"/>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9"/>
      </w:numPr>
    </w:pPr>
  </w:style>
  <w:style w:type="paragraph" w:styleId="TOC4">
    <w:name w:val="toc 4"/>
    <w:basedOn w:val="Normal"/>
    <w:next w:val="Normal"/>
    <w:autoRedefine/>
    <w:uiPriority w:val="39"/>
    <w:rsid w:val="007D4A87"/>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7D4A87"/>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7D4A87"/>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CF34A7"/>
    <w:rPr>
      <w:rFonts w:ascii="Tahoma" w:hAnsi="Tahoma"/>
      <w:b/>
    </w:rPr>
  </w:style>
  <w:style w:type="character" w:customStyle="1" w:styleId="Heading5Char">
    <w:name w:val="Heading 5 Char"/>
    <w:basedOn w:val="DefaultParagraphFont"/>
    <w:link w:val="Heading5"/>
    <w:uiPriority w:val="9"/>
    <w:semiHidden/>
    <w:rsid w:val="00E95D4A"/>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453AD0"/>
    <w:rPr>
      <w:color w:val="B16700" w:themeColor="accent2" w:themeShade="BF"/>
    </w:rPr>
  </w:style>
  <w:style w:type="paragraph" w:styleId="TOC7">
    <w:name w:val="toc 7"/>
    <w:basedOn w:val="Normal"/>
    <w:next w:val="Normal"/>
    <w:autoRedefine/>
    <w:uiPriority w:val="39"/>
    <w:unhideWhenUsed/>
    <w:rsid w:val="007D4A87"/>
    <w:pPr>
      <w:spacing w:before="40" w:after="40" w:line="288" w:lineRule="auto"/>
      <w:ind w:left="1321"/>
    </w:pPr>
  </w:style>
  <w:style w:type="paragraph" w:styleId="TOC8">
    <w:name w:val="toc 8"/>
    <w:basedOn w:val="Normal"/>
    <w:next w:val="Normal"/>
    <w:autoRedefine/>
    <w:uiPriority w:val="39"/>
    <w:unhideWhenUsed/>
    <w:rsid w:val="007D4A87"/>
    <w:pPr>
      <w:spacing w:before="40" w:after="40" w:line="288" w:lineRule="auto"/>
      <w:ind w:left="1542"/>
    </w:pPr>
  </w:style>
  <w:style w:type="paragraph" w:styleId="TOC9">
    <w:name w:val="toc 9"/>
    <w:basedOn w:val="Normal"/>
    <w:next w:val="Normal"/>
    <w:autoRedefine/>
    <w:uiPriority w:val="39"/>
    <w:unhideWhenUsed/>
    <w:rsid w:val="007D4A87"/>
    <w:pPr>
      <w:spacing w:before="40" w:after="40" w:line="288" w:lineRule="auto"/>
      <w:ind w:left="1758"/>
    </w:pPr>
  </w:style>
  <w:style w:type="character" w:customStyle="1" w:styleId="Heading6Char">
    <w:name w:val="Heading 6 Char"/>
    <w:basedOn w:val="DefaultParagraphFont"/>
    <w:link w:val="Heading6"/>
    <w:uiPriority w:val="9"/>
    <w:semiHidden/>
    <w:rsid w:val="005D72AE"/>
    <w:rPr>
      <w:rFonts w:asciiTheme="majorHAnsi" w:eastAsiaTheme="majorEastAsia" w:hAnsiTheme="majorHAnsi" w:cstheme="majorBidi"/>
      <w:i/>
      <w:iCs/>
      <w:color w:val="113048" w:themeColor="accent1" w:themeShade="7F"/>
      <w:sz w:val="28"/>
      <w:lang w:val="en-AU" w:eastAsia="en-AU"/>
    </w:rPr>
  </w:style>
  <w:style w:type="table" w:styleId="LightShading">
    <w:name w:val="Light Shading"/>
    <w:basedOn w:val="TableNormal"/>
    <w:uiPriority w:val="60"/>
    <w:rsid w:val="005D72AE"/>
    <w:pPr>
      <w:spacing w:after="0" w:line="240" w:lineRule="auto"/>
    </w:pPr>
    <w:rPr>
      <w:rFonts w:eastAsiaTheme="minorEastAsia"/>
      <w:color w:val="000000" w:themeColor="text1" w:themeShade="BF"/>
      <w:sz w:val="20"/>
      <w:szCs w:val="20"/>
      <w:lang w:val="en-AU"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rsid w:val="005D72AE"/>
    <w:pPr>
      <w:spacing w:after="0" w:line="240" w:lineRule="auto"/>
    </w:pPr>
    <w:rPr>
      <w:rFonts w:eastAsiaTheme="minorEastAsia"/>
      <w:sz w:val="20"/>
      <w:szCs w:val="20"/>
      <w:lang w:val="en-AU" w:eastAsia="en-AU"/>
    </w:rPr>
    <w:tblPr>
      <w:tblStyleRowBandSize w:val="1"/>
      <w:tblStyleColBandSize w:val="1"/>
      <w:tblBorders>
        <w:top w:val="single" w:sz="8" w:space="0" w:color="CE0058" w:themeColor="accent4"/>
        <w:left w:val="single" w:sz="8" w:space="0" w:color="CE0058" w:themeColor="accent4"/>
        <w:bottom w:val="single" w:sz="8" w:space="0" w:color="CE0058" w:themeColor="accent4"/>
        <w:right w:val="single" w:sz="8" w:space="0" w:color="CE0058" w:themeColor="accent4"/>
      </w:tblBorders>
    </w:tblPr>
    <w:tblStylePr w:type="firstRow">
      <w:pPr>
        <w:spacing w:before="0" w:after="0" w:line="240" w:lineRule="auto"/>
      </w:pPr>
      <w:rPr>
        <w:b/>
        <w:bCs/>
        <w:color w:val="FFFFFF" w:themeColor="background1"/>
      </w:rPr>
      <w:tblPr/>
      <w:tcPr>
        <w:shd w:val="clear" w:color="auto" w:fill="CE0058" w:themeFill="accent4"/>
      </w:tcPr>
    </w:tblStylePr>
    <w:tblStylePr w:type="lastRow">
      <w:pPr>
        <w:spacing w:before="0" w:after="0" w:line="240" w:lineRule="auto"/>
      </w:pPr>
      <w:rPr>
        <w:b/>
        <w:bCs/>
      </w:rPr>
      <w:tblPr/>
      <w:tcPr>
        <w:tcBorders>
          <w:top w:val="double" w:sz="6" w:space="0" w:color="CE0058" w:themeColor="accent4"/>
          <w:left w:val="single" w:sz="8" w:space="0" w:color="CE0058" w:themeColor="accent4"/>
          <w:bottom w:val="single" w:sz="8" w:space="0" w:color="CE0058" w:themeColor="accent4"/>
          <w:right w:val="single" w:sz="8" w:space="0" w:color="CE0058" w:themeColor="accent4"/>
        </w:tcBorders>
      </w:tcPr>
    </w:tblStylePr>
    <w:tblStylePr w:type="firstCol">
      <w:rPr>
        <w:b/>
        <w:bCs/>
      </w:rPr>
    </w:tblStylePr>
    <w:tblStylePr w:type="lastCol">
      <w:rPr>
        <w:b/>
        <w:bCs/>
      </w:rPr>
    </w:tblStylePr>
    <w:tblStylePr w:type="band1Vert">
      <w:tblPr/>
      <w:tcPr>
        <w:tcBorders>
          <w:top w:val="single" w:sz="8" w:space="0" w:color="CE0058" w:themeColor="accent4"/>
          <w:left w:val="single" w:sz="8" w:space="0" w:color="CE0058" w:themeColor="accent4"/>
          <w:bottom w:val="single" w:sz="8" w:space="0" w:color="CE0058" w:themeColor="accent4"/>
          <w:right w:val="single" w:sz="8" w:space="0" w:color="CE0058" w:themeColor="accent4"/>
        </w:tcBorders>
      </w:tcPr>
    </w:tblStylePr>
    <w:tblStylePr w:type="band1Horz">
      <w:tblPr/>
      <w:tcPr>
        <w:tcBorders>
          <w:top w:val="single" w:sz="8" w:space="0" w:color="CE0058" w:themeColor="accent4"/>
          <w:left w:val="single" w:sz="8" w:space="0" w:color="CE0058" w:themeColor="accent4"/>
          <w:bottom w:val="single" w:sz="8" w:space="0" w:color="CE0058" w:themeColor="accent4"/>
          <w:right w:val="single" w:sz="8" w:space="0" w:color="CE0058" w:themeColor="accent4"/>
        </w:tcBorders>
      </w:tcPr>
    </w:tblStylePr>
  </w:style>
  <w:style w:type="table" w:styleId="LightList-Accent1">
    <w:name w:val="Light List Accent 1"/>
    <w:basedOn w:val="TableNormal"/>
    <w:uiPriority w:val="61"/>
    <w:rsid w:val="005D72AE"/>
    <w:pPr>
      <w:spacing w:after="0" w:line="240" w:lineRule="auto"/>
    </w:pPr>
    <w:rPr>
      <w:rFonts w:eastAsiaTheme="minorEastAsia"/>
      <w:sz w:val="20"/>
      <w:szCs w:val="20"/>
      <w:lang w:val="en-AU" w:eastAsia="en-AU"/>
    </w:rPr>
    <w:tblPr>
      <w:tblStyleRowBandSize w:val="1"/>
      <w:tblStyleColBandSize w:val="1"/>
      <w:tblBorders>
        <w:top w:val="single" w:sz="8" w:space="0" w:color="236192" w:themeColor="accent1"/>
        <w:left w:val="single" w:sz="8" w:space="0" w:color="236192" w:themeColor="accent1"/>
        <w:bottom w:val="single" w:sz="8" w:space="0" w:color="236192" w:themeColor="accent1"/>
        <w:right w:val="single" w:sz="8" w:space="0" w:color="236192" w:themeColor="accent1"/>
      </w:tblBorders>
    </w:tblPr>
    <w:tblStylePr w:type="firstRow">
      <w:pPr>
        <w:spacing w:before="0" w:after="0" w:line="240" w:lineRule="auto"/>
      </w:pPr>
      <w:rPr>
        <w:b/>
        <w:bCs/>
        <w:color w:val="FFFFFF" w:themeColor="background1"/>
      </w:rPr>
      <w:tblPr/>
      <w:tcPr>
        <w:shd w:val="clear" w:color="auto" w:fill="236192" w:themeFill="accent1"/>
      </w:tcPr>
    </w:tblStylePr>
    <w:tblStylePr w:type="lastRow">
      <w:pPr>
        <w:spacing w:before="0" w:after="0" w:line="240" w:lineRule="auto"/>
      </w:pPr>
      <w:rPr>
        <w:b/>
        <w:bCs/>
      </w:rPr>
      <w:tblPr/>
      <w:tcPr>
        <w:tcBorders>
          <w:top w:val="double" w:sz="6" w:space="0" w:color="236192" w:themeColor="accent1"/>
          <w:left w:val="single" w:sz="8" w:space="0" w:color="236192" w:themeColor="accent1"/>
          <w:bottom w:val="single" w:sz="8" w:space="0" w:color="236192" w:themeColor="accent1"/>
          <w:right w:val="single" w:sz="8" w:space="0" w:color="236192" w:themeColor="accent1"/>
        </w:tcBorders>
      </w:tcPr>
    </w:tblStylePr>
    <w:tblStylePr w:type="firstCol">
      <w:rPr>
        <w:b/>
        <w:bCs/>
      </w:rPr>
    </w:tblStylePr>
    <w:tblStylePr w:type="lastCol">
      <w:rPr>
        <w:b/>
        <w:bCs/>
      </w:rPr>
    </w:tblStylePr>
    <w:tblStylePr w:type="band1Vert">
      <w:tblPr/>
      <w:tcPr>
        <w:tcBorders>
          <w:top w:val="single" w:sz="8" w:space="0" w:color="236192" w:themeColor="accent1"/>
          <w:left w:val="single" w:sz="8" w:space="0" w:color="236192" w:themeColor="accent1"/>
          <w:bottom w:val="single" w:sz="8" w:space="0" w:color="236192" w:themeColor="accent1"/>
          <w:right w:val="single" w:sz="8" w:space="0" w:color="236192" w:themeColor="accent1"/>
        </w:tcBorders>
      </w:tcPr>
    </w:tblStylePr>
    <w:tblStylePr w:type="band1Horz">
      <w:tblPr/>
      <w:tcPr>
        <w:tcBorders>
          <w:top w:val="single" w:sz="8" w:space="0" w:color="236192" w:themeColor="accent1"/>
          <w:left w:val="single" w:sz="8" w:space="0" w:color="236192" w:themeColor="accent1"/>
          <w:bottom w:val="single" w:sz="8" w:space="0" w:color="236192" w:themeColor="accent1"/>
          <w:right w:val="single" w:sz="8" w:space="0" w:color="236192" w:themeColor="accent1"/>
        </w:tcBorders>
      </w:tcPr>
    </w:tblStylePr>
  </w:style>
  <w:style w:type="paragraph" w:styleId="Index1">
    <w:name w:val="index 1"/>
    <w:basedOn w:val="Normal"/>
    <w:next w:val="Normal"/>
    <w:uiPriority w:val="99"/>
    <w:semiHidden/>
    <w:rsid w:val="005D72AE"/>
    <w:pPr>
      <w:spacing w:after="60" w:line="240" w:lineRule="auto"/>
    </w:pPr>
    <w:rPr>
      <w:sz w:val="16"/>
    </w:rPr>
  </w:style>
  <w:style w:type="paragraph" w:styleId="Index2">
    <w:name w:val="index 2"/>
    <w:basedOn w:val="Normal"/>
    <w:next w:val="Normal"/>
    <w:uiPriority w:val="99"/>
    <w:semiHidden/>
    <w:rsid w:val="005D72AE"/>
    <w:pPr>
      <w:spacing w:after="0" w:line="240" w:lineRule="auto"/>
      <w:ind w:left="216"/>
    </w:pPr>
    <w:rPr>
      <w:sz w:val="16"/>
      <w:szCs w:val="16"/>
    </w:rPr>
  </w:style>
  <w:style w:type="paragraph" w:styleId="NormalIndent">
    <w:name w:val="Normal Indent"/>
    <w:basedOn w:val="Normal"/>
    <w:uiPriority w:val="8"/>
    <w:qFormat/>
    <w:rsid w:val="005D72AE"/>
    <w:pPr>
      <w:spacing w:line="252" w:lineRule="auto"/>
      <w:ind w:left="792"/>
    </w:pPr>
  </w:style>
  <w:style w:type="paragraph" w:customStyle="1" w:styleId="Heading4numbered">
    <w:name w:val="Heading 4 numbered"/>
    <w:basedOn w:val="Heading4"/>
    <w:next w:val="NormalIndent"/>
    <w:uiPriority w:val="8"/>
    <w:qFormat/>
    <w:rsid w:val="005D72AE"/>
    <w:pPr>
      <w:tabs>
        <w:tab w:val="num" w:pos="792"/>
      </w:tabs>
      <w:spacing w:before="200"/>
      <w:ind w:left="792" w:hanging="792"/>
    </w:pPr>
    <w:rPr>
      <w:rFonts w:asciiTheme="majorHAnsi" w:hAnsiTheme="majorHAnsi"/>
      <w:bCs/>
      <w:color w:val="ED8B00" w:themeColor="accent2"/>
      <w:lang w:val="en-US"/>
    </w:rPr>
  </w:style>
  <w:style w:type="paragraph" w:customStyle="1" w:styleId="NoteNormal">
    <w:name w:val="Note Normal"/>
    <w:basedOn w:val="Normal"/>
    <w:uiPriority w:val="3"/>
    <w:rsid w:val="005D72AE"/>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D72AE"/>
    <w:pPr>
      <w:spacing w:before="0" w:after="0" w:line="120" w:lineRule="atLeast"/>
    </w:pPr>
    <w:rPr>
      <w:rFonts w:eastAsia="Times New Roman" w:cs="Calibri"/>
      <w:spacing w:val="0"/>
      <w:sz w:val="10"/>
      <w:szCs w:val="22"/>
    </w:rPr>
  </w:style>
  <w:style w:type="paragraph" w:customStyle="1" w:styleId="TertiaryTitle">
    <w:name w:val="Tertiary Title"/>
    <w:next w:val="Normal"/>
    <w:uiPriority w:val="99"/>
    <w:rsid w:val="005D72AE"/>
    <w:pPr>
      <w:spacing w:after="0" w:line="276" w:lineRule="auto"/>
    </w:pPr>
    <w:rPr>
      <w:rFonts w:asciiTheme="majorHAnsi" w:eastAsia="Times New Roman" w:hAnsiTheme="majorHAnsi" w:cstheme="majorHAnsi"/>
      <w:b/>
      <w:color w:val="53565A"/>
      <w:spacing w:val="2"/>
      <w:sz w:val="28"/>
      <w:szCs w:val="40"/>
      <w:lang w:val="en-AU"/>
    </w:rPr>
  </w:style>
  <w:style w:type="paragraph" w:styleId="IndexHeading">
    <w:name w:val="index heading"/>
    <w:basedOn w:val="Normal"/>
    <w:next w:val="Index1"/>
    <w:uiPriority w:val="99"/>
    <w:semiHidden/>
    <w:rsid w:val="005D72AE"/>
    <w:rPr>
      <w:rFonts w:asciiTheme="majorHAnsi" w:eastAsiaTheme="majorEastAsia" w:hAnsiTheme="majorHAnsi" w:cstheme="majorBidi"/>
      <w:b/>
      <w:bCs/>
    </w:rPr>
  </w:style>
  <w:style w:type="paragraph" w:customStyle="1" w:styleId="NormalTight">
    <w:name w:val="Normal Tight"/>
    <w:uiPriority w:val="99"/>
    <w:semiHidden/>
    <w:rsid w:val="005D72AE"/>
    <w:pPr>
      <w:spacing w:after="0" w:line="240" w:lineRule="auto"/>
      <w:ind w:right="2366"/>
    </w:pPr>
    <w:rPr>
      <w:rFonts w:eastAsia="Times New Roman" w:cs="Calibri"/>
      <w:sz w:val="18"/>
      <w:szCs w:val="19"/>
      <w:lang w:val="en-AU"/>
    </w:rPr>
  </w:style>
  <w:style w:type="paragraph" w:customStyle="1" w:styleId="Insidecoverspacer">
    <w:name w:val="Inside cover spacer"/>
    <w:basedOn w:val="NormalTight"/>
    <w:uiPriority w:val="99"/>
    <w:semiHidden/>
    <w:qFormat/>
    <w:rsid w:val="005D72AE"/>
    <w:pPr>
      <w:spacing w:before="5800"/>
      <w:ind w:right="1382"/>
    </w:pPr>
  </w:style>
  <w:style w:type="table" w:customStyle="1" w:styleId="Indented">
    <w:name w:val="Indented"/>
    <w:basedOn w:val="TableGrid"/>
    <w:uiPriority w:val="99"/>
    <w:rsid w:val="005D72AE"/>
    <w:pPr>
      <w:spacing w:before="20"/>
    </w:pPr>
    <w:rPr>
      <w:spacing w:val="2"/>
      <w:sz w:val="17"/>
      <w:szCs w:val="21"/>
      <w:lang w:val="en-AU"/>
    </w:rPr>
    <w:tblPr>
      <w:tblStyleColBandSize w:val="1"/>
      <w:tblInd w:w="86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0" w:type="dxa"/>
        <w:left w:w="86" w:type="dxa"/>
        <w:bottom w:w="0" w:type="dxa"/>
        <w:right w:w="86" w:type="dxa"/>
      </w:tblCellMar>
    </w:tblPr>
    <w:trPr>
      <w:cantSplit/>
    </w:trPr>
    <w:tcPr>
      <w:shd w:val="clear" w:color="auto" w:fill="F2F2F2" w:themeFill="background1" w:themeFillShade="F2"/>
    </w:tc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236192" w:themeColor="accent1"/>
          <w:left w:val="nil"/>
          <w:bottom w:val="single" w:sz="12" w:space="0" w:color="236192" w:themeColor="accent1"/>
          <w:right w:val="nil"/>
          <w:insideH w:val="nil"/>
          <w:insideV w:val="nil"/>
          <w:tl2br w:val="nil"/>
          <w:tr2bl w:val="nil"/>
        </w:tcBorders>
        <w:shd w:val="clear" w:color="auto" w:fill="F2F2F2" w:themeFill="background1" w:themeFillShade="F2"/>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pPr>
        <w:jc w:val="left"/>
      </w:pPr>
      <w:tblPr/>
      <w:tcPr>
        <w:shd w:val="clear" w:color="auto" w:fill="C6EEF0"/>
      </w:tcPr>
    </w:tblStylePr>
  </w:style>
  <w:style w:type="paragraph" w:customStyle="1" w:styleId="Tabletextright">
    <w:name w:val="Table text right"/>
    <w:basedOn w:val="Normal"/>
    <w:uiPriority w:val="5"/>
    <w:qFormat/>
    <w:rsid w:val="005D72AE"/>
    <w:pPr>
      <w:widowControl w:val="0"/>
      <w:spacing w:before="0" w:after="0" w:line="240" w:lineRule="auto"/>
      <w:jc w:val="right"/>
    </w:pPr>
    <w:rPr>
      <w:rFonts w:eastAsiaTheme="minorHAnsi"/>
      <w:spacing w:val="2"/>
      <w:sz w:val="19"/>
      <w:szCs w:val="19"/>
      <w:lang w:val="en-US" w:eastAsia="en-US"/>
    </w:rPr>
  </w:style>
  <w:style w:type="paragraph" w:customStyle="1" w:styleId="Tabletextcentred">
    <w:name w:val="Table text centred"/>
    <w:basedOn w:val="Normal"/>
    <w:uiPriority w:val="5"/>
    <w:qFormat/>
    <w:rsid w:val="005D72AE"/>
    <w:pPr>
      <w:widowControl w:val="0"/>
      <w:spacing w:before="0" w:after="0" w:line="240" w:lineRule="auto"/>
      <w:jc w:val="center"/>
    </w:pPr>
    <w:rPr>
      <w:rFonts w:eastAsiaTheme="minorHAnsi"/>
      <w:spacing w:val="2"/>
      <w:sz w:val="20"/>
      <w:szCs w:val="19"/>
      <w:lang w:val="en-US" w:eastAsia="en-US"/>
    </w:rPr>
  </w:style>
  <w:style w:type="paragraph" w:customStyle="1" w:styleId="Tableheader">
    <w:name w:val="Table header"/>
    <w:basedOn w:val="Normal"/>
    <w:uiPriority w:val="5"/>
    <w:qFormat/>
    <w:rsid w:val="005D72AE"/>
    <w:pPr>
      <w:keepNext/>
      <w:widowControl w:val="0"/>
      <w:spacing w:line="240" w:lineRule="auto"/>
    </w:pPr>
    <w:rPr>
      <w:rFonts w:eastAsiaTheme="minorHAnsi"/>
      <w:color w:val="FFFFFF" w:themeColor="background1"/>
      <w:spacing w:val="2"/>
      <w:szCs w:val="21"/>
      <w:lang w:val="en-US" w:eastAsia="en-US"/>
    </w:rPr>
  </w:style>
  <w:style w:type="paragraph" w:customStyle="1" w:styleId="Tabletextindent">
    <w:name w:val="Table text indent"/>
    <w:basedOn w:val="Normal"/>
    <w:uiPriority w:val="5"/>
    <w:qFormat/>
    <w:rsid w:val="005D72AE"/>
    <w:pPr>
      <w:widowControl w:val="0"/>
      <w:spacing w:before="0" w:after="0" w:line="240" w:lineRule="auto"/>
      <w:ind w:left="288"/>
    </w:pPr>
    <w:rPr>
      <w:rFonts w:eastAsiaTheme="minorHAnsi"/>
      <w:spacing w:val="2"/>
      <w:sz w:val="19"/>
      <w:szCs w:val="19"/>
      <w:lang w:val="en-US" w:eastAsia="en-US"/>
    </w:rPr>
  </w:style>
  <w:style w:type="paragraph" w:styleId="ListNumber4">
    <w:name w:val="List Number 4"/>
    <w:basedOn w:val="Normal"/>
    <w:uiPriority w:val="9"/>
    <w:rsid w:val="005D72AE"/>
    <w:pPr>
      <w:tabs>
        <w:tab w:val="num" w:pos="1209"/>
      </w:tabs>
      <w:ind w:left="1209" w:hanging="360"/>
      <w:contextualSpacing/>
    </w:pPr>
  </w:style>
  <w:style w:type="paragraph" w:customStyle="1" w:styleId="NoteNormalindent">
    <w:name w:val="Note Normal indent"/>
    <w:basedOn w:val="NoteNormal"/>
    <w:uiPriority w:val="9"/>
    <w:rsid w:val="005D72AE"/>
  </w:style>
  <w:style w:type="paragraph" w:styleId="ListBullet4">
    <w:name w:val="List Bullet 4"/>
    <w:basedOn w:val="Normal"/>
    <w:uiPriority w:val="9"/>
    <w:rsid w:val="005D72AE"/>
    <w:pPr>
      <w:tabs>
        <w:tab w:val="num" w:pos="1209"/>
      </w:tabs>
      <w:spacing w:before="0" w:after="180"/>
      <w:ind w:left="1209" w:hanging="360"/>
      <w:contextualSpacing/>
    </w:pPr>
  </w:style>
  <w:style w:type="character" w:styleId="CommentReference">
    <w:name w:val="annotation reference"/>
    <w:basedOn w:val="DefaultParagraphFont"/>
    <w:uiPriority w:val="99"/>
    <w:semiHidden/>
    <w:unhideWhenUsed/>
    <w:rsid w:val="005D72AE"/>
    <w:rPr>
      <w:sz w:val="16"/>
      <w:szCs w:val="16"/>
    </w:rPr>
  </w:style>
  <w:style w:type="paragraph" w:styleId="CommentText">
    <w:name w:val="annotation text"/>
    <w:basedOn w:val="Normal"/>
    <w:link w:val="CommentTextChar"/>
    <w:uiPriority w:val="99"/>
    <w:semiHidden/>
    <w:unhideWhenUsed/>
    <w:rsid w:val="005D72AE"/>
    <w:pPr>
      <w:spacing w:line="240" w:lineRule="auto"/>
    </w:pPr>
    <w:rPr>
      <w:sz w:val="20"/>
    </w:rPr>
  </w:style>
  <w:style w:type="character" w:customStyle="1" w:styleId="CommentTextChar">
    <w:name w:val="Comment Text Char"/>
    <w:basedOn w:val="DefaultParagraphFont"/>
    <w:link w:val="CommentText"/>
    <w:uiPriority w:val="99"/>
    <w:semiHidden/>
    <w:rsid w:val="005D72AE"/>
    <w:rPr>
      <w:rFonts w:ascii="Arial" w:eastAsiaTheme="minorEastAsia" w:hAnsi="Arial" w:cs="Arial"/>
      <w:spacing w:val="-2"/>
      <w:sz w:val="20"/>
      <w:szCs w:val="20"/>
      <w:lang w:val="en-AU" w:eastAsia="en-AU"/>
    </w:rPr>
  </w:style>
  <w:style w:type="paragraph" w:styleId="CommentSubject">
    <w:name w:val="annotation subject"/>
    <w:basedOn w:val="Normal"/>
    <w:next w:val="Normal"/>
    <w:link w:val="CommentSubjectChar"/>
    <w:uiPriority w:val="99"/>
    <w:semiHidden/>
    <w:unhideWhenUsed/>
    <w:rsid w:val="005D72AE"/>
    <w:pPr>
      <w:spacing w:before="0" w:after="180" w:line="240" w:lineRule="auto"/>
    </w:pPr>
    <w:rPr>
      <w:b/>
      <w:bCs/>
      <w:spacing w:val="0"/>
    </w:rPr>
  </w:style>
  <w:style w:type="character" w:customStyle="1" w:styleId="CommentSubjectChar">
    <w:name w:val="Comment Subject Char"/>
    <w:basedOn w:val="CommentTextChar"/>
    <w:link w:val="CommentSubject"/>
    <w:uiPriority w:val="99"/>
    <w:semiHidden/>
    <w:rsid w:val="005D72AE"/>
    <w:rPr>
      <w:rFonts w:ascii="Arial" w:eastAsiaTheme="minorEastAsia" w:hAnsi="Arial" w:cs="Arial"/>
      <w:b/>
      <w:bCs/>
      <w:spacing w:val="-2"/>
      <w:sz w:val="24"/>
      <w:szCs w:val="20"/>
      <w:lang w:val="en-AU" w:eastAsia="en-AU"/>
    </w:rPr>
  </w:style>
  <w:style w:type="paragraph" w:styleId="Revision">
    <w:name w:val="Revision"/>
    <w:hidden/>
    <w:uiPriority w:val="99"/>
    <w:semiHidden/>
    <w:rsid w:val="005D72AE"/>
    <w:pPr>
      <w:spacing w:after="0" w:line="240" w:lineRule="auto"/>
    </w:pPr>
    <w:rPr>
      <w:rFonts w:eastAsiaTheme="minorEastAsia"/>
      <w:lang w:val="en-AU" w:eastAsia="en-AU"/>
    </w:rPr>
  </w:style>
  <w:style w:type="table" w:customStyle="1" w:styleId="DTFtexttable">
    <w:name w:val="DTF text table"/>
    <w:basedOn w:val="TableGrid"/>
    <w:uiPriority w:val="99"/>
    <w:rsid w:val="005D72AE"/>
    <w:pPr>
      <w:spacing w:before="30" w:after="30" w:line="264" w:lineRule="auto"/>
    </w:pPr>
    <w:rPr>
      <w:spacing w:val="2"/>
      <w:sz w:val="17"/>
      <w:szCs w:val="21"/>
      <w:lang w:val="en-AU"/>
    </w:rPr>
    <w:tblPr>
      <w:tblStyleColBandSize w:val="1"/>
      <w:tblBorders>
        <w:bottom w:val="single" w:sz="12" w:space="0" w:color="236192" w:themeColor="accent1"/>
        <w:insideH w:val="none" w:sz="0" w:space="0" w:color="auto"/>
      </w:tblBorders>
      <w:tblCellMar>
        <w:top w:w="0" w:type="dxa"/>
        <w:left w:w="86" w:type="dxa"/>
        <w:bottom w:w="0" w:type="dxa"/>
        <w:right w:w="86" w:type="dxa"/>
      </w:tblCellMar>
    </w:tblPr>
    <w:trPr>
      <w:cantSplit/>
    </w:trPr>
    <w:tcPr>
      <w:shd w:val="clear" w:color="auto" w:fill="F2F2F2" w:themeFill="background1" w:themeFillShade="F2"/>
    </w:tc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236192" w:themeFill="accent1"/>
        <w:vAlign w:val="bottom"/>
      </w:tcPr>
    </w:tblStylePr>
    <w:tblStylePr w:type="lastRow">
      <w:rPr>
        <w:b/>
      </w:rPr>
      <w:tblPr/>
      <w:tcPr>
        <w:tcBorders>
          <w:top w:val="single" w:sz="6" w:space="0" w:color="236192" w:themeColor="accent1"/>
          <w:left w:val="nil"/>
          <w:bottom w:val="single" w:sz="12" w:space="0" w:color="236192" w:themeColor="accent1"/>
          <w:right w:val="nil"/>
          <w:insideH w:val="nil"/>
          <w:insideV w:val="nil"/>
          <w:tl2br w:val="nil"/>
          <w:tr2bl w:val="nil"/>
        </w:tcBorders>
        <w:shd w:val="clear" w:color="auto" w:fill="F2F2F2" w:themeFill="background1" w:themeFillShade="F2"/>
      </w:tcPr>
    </w:tblStylePr>
    <w:tblStylePr w:type="firstCol">
      <w:pPr>
        <w:jc w:val="left"/>
      </w:pPr>
      <w:tblPr/>
      <w:tcPr>
        <w:shd w:val="clear" w:color="auto" w:fill="D8E7ED" w:themeFill="accent3" w:themeFillTint="33"/>
      </w:tcPr>
    </w:tblStylePr>
    <w:tblStylePr w:type="lastCol">
      <w:pPr>
        <w:jc w:val="left"/>
      </w:pPr>
    </w:tblStylePr>
    <w:tblStylePr w:type="band1Vert">
      <w:pPr>
        <w:jc w:val="left"/>
      </w:pPr>
    </w:tblStylePr>
    <w:tblStylePr w:type="band2Vert">
      <w:pPr>
        <w:jc w:val="left"/>
      </w:pPr>
    </w:tblStylePr>
    <w:tblStylePr w:type="band1Horz">
      <w:tblPr/>
      <w:tcPr>
        <w:shd w:val="clear" w:color="auto" w:fill="F2F2F2" w:themeFill="background1" w:themeFillShade="F2"/>
      </w:tcPr>
    </w:tblStylePr>
    <w:tblStylePr w:type="band2Horz">
      <w:pPr>
        <w:jc w:val="left"/>
      </w:pPr>
      <w:tblPr/>
      <w:tcPr>
        <w:shd w:val="clear" w:color="auto" w:fill="D8E7ED"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ListNumber5">
    <w:name w:val="List Number 5"/>
    <w:basedOn w:val="Normal"/>
    <w:uiPriority w:val="9"/>
    <w:rsid w:val="005D72AE"/>
    <w:pPr>
      <w:tabs>
        <w:tab w:val="num" w:pos="1492"/>
      </w:tabs>
      <w:ind w:left="1492" w:hanging="360"/>
      <w:contextualSpacing/>
    </w:pPr>
  </w:style>
  <w:style w:type="paragraph" w:customStyle="1" w:styleId="Introduction">
    <w:name w:val="Introduction"/>
    <w:basedOn w:val="Normal"/>
    <w:uiPriority w:val="2"/>
    <w:qFormat/>
    <w:rsid w:val="005D72AE"/>
    <w:pPr>
      <w:spacing w:after="280"/>
    </w:pPr>
    <w:rPr>
      <w:b/>
      <w:color w:val="004EA8"/>
    </w:rPr>
  </w:style>
  <w:style w:type="character" w:styleId="UnresolvedMention">
    <w:name w:val="Unresolved Mention"/>
    <w:basedOn w:val="DefaultParagraphFont"/>
    <w:uiPriority w:val="99"/>
    <w:semiHidden/>
    <w:unhideWhenUsed/>
    <w:rsid w:val="005D72AE"/>
    <w:rPr>
      <w:color w:val="605E5C"/>
      <w:shd w:val="clear" w:color="auto" w:fill="E1DFDD"/>
    </w:rPr>
  </w:style>
  <w:style w:type="character" w:styleId="FollowedHyperlink">
    <w:name w:val="FollowedHyperlink"/>
    <w:basedOn w:val="DefaultParagraphFont"/>
    <w:uiPriority w:val="99"/>
    <w:semiHidden/>
    <w:unhideWhenUsed/>
    <w:rsid w:val="005D72AE"/>
    <w:rPr>
      <w:color w:val="000000" w:themeColor="followedHyperlink"/>
      <w:u w:val="single"/>
    </w:rPr>
  </w:style>
  <w:style w:type="paragraph" w:customStyle="1" w:styleId="Normalnospace">
    <w:name w:val="Normal no space"/>
    <w:basedOn w:val="Normal"/>
    <w:uiPriority w:val="2"/>
    <w:qFormat/>
    <w:rsid w:val="005D72AE"/>
    <w:pPr>
      <w:spacing w:before="0" w:after="0"/>
    </w:pPr>
    <w:rPr>
      <w:lang w:val="en-US"/>
    </w:rPr>
  </w:style>
  <w:style w:type="character" w:styleId="IntenseEmphasis">
    <w:name w:val="Intense Emphasis"/>
    <w:basedOn w:val="DefaultParagraphFont"/>
    <w:uiPriority w:val="21"/>
    <w:qFormat/>
    <w:rsid w:val="005D72AE"/>
    <w:rPr>
      <w:i/>
      <w:iCs/>
      <w:color w:val="236192" w:themeColor="accent1"/>
    </w:rPr>
  </w:style>
  <w:style w:type="table" w:styleId="TableGridLight">
    <w:name w:val="Grid Table Light"/>
    <w:basedOn w:val="TableNormal"/>
    <w:uiPriority w:val="40"/>
    <w:rsid w:val="005D72AE"/>
    <w:pPr>
      <w:spacing w:after="0" w:line="240" w:lineRule="auto"/>
    </w:pPr>
    <w:rPr>
      <w:rFonts w:eastAsiaTheme="minorEastAsia"/>
      <w:sz w:val="20"/>
      <w:szCs w:val="20"/>
      <w:lang w:val="en-AU"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3">
    <w:name w:val="H3"/>
    <w:basedOn w:val="Normal"/>
    <w:uiPriority w:val="99"/>
    <w:rsid w:val="005D72AE"/>
    <w:pPr>
      <w:keepLines w:val="0"/>
      <w:suppressAutoHyphens/>
      <w:autoSpaceDE w:val="0"/>
      <w:autoSpaceDN w:val="0"/>
      <w:adjustRightInd w:val="0"/>
      <w:spacing w:before="113" w:after="57" w:line="288" w:lineRule="auto"/>
      <w:textAlignment w:val="center"/>
    </w:pPr>
    <w:rPr>
      <w:rFonts w:ascii="HelveticaNeueLTStd-Md" w:hAnsi="HelveticaNeueLTStd-Md" w:cs="HelveticaNeueLTStd-Md"/>
      <w:color w:val="000000"/>
      <w:spacing w:val="-4"/>
      <w:sz w:val="20"/>
      <w:lang w:val="en-US"/>
    </w:rPr>
  </w:style>
  <w:style w:type="paragraph" w:customStyle="1" w:styleId="Bullet1">
    <w:name w:val="Bullet 1"/>
    <w:basedOn w:val="Normal"/>
    <w:uiPriority w:val="99"/>
    <w:rsid w:val="005D72AE"/>
    <w:pPr>
      <w:keepLines w:val="0"/>
      <w:tabs>
        <w:tab w:val="left" w:pos="283"/>
        <w:tab w:val="left" w:pos="567"/>
      </w:tabs>
      <w:suppressAutoHyphens/>
      <w:autoSpaceDE w:val="0"/>
      <w:autoSpaceDN w:val="0"/>
      <w:adjustRightInd w:val="0"/>
      <w:spacing w:before="0" w:after="113" w:line="200" w:lineRule="atLeast"/>
      <w:ind w:left="227" w:hanging="227"/>
      <w:textAlignment w:val="center"/>
    </w:pPr>
    <w:rPr>
      <w:rFonts w:ascii="HelveticaNeueLTStd-Lt" w:hAnsi="HelveticaNeueLTStd-Lt" w:cs="HelveticaNeueLTStd-Lt"/>
      <w:color w:val="000000"/>
      <w:spacing w:val="0"/>
      <w:sz w:val="18"/>
      <w:szCs w:val="18"/>
      <w:lang w:val="en-US"/>
    </w:rPr>
  </w:style>
  <w:style w:type="paragraph" w:customStyle="1" w:styleId="H2">
    <w:name w:val="H2"/>
    <w:basedOn w:val="Normal"/>
    <w:uiPriority w:val="99"/>
    <w:rsid w:val="005D72AE"/>
    <w:pPr>
      <w:keepLines w:val="0"/>
      <w:suppressAutoHyphens/>
      <w:autoSpaceDE w:val="0"/>
      <w:autoSpaceDN w:val="0"/>
      <w:adjustRightInd w:val="0"/>
      <w:spacing w:before="227" w:after="170" w:line="260" w:lineRule="atLeast"/>
      <w:textAlignment w:val="center"/>
    </w:pPr>
    <w:rPr>
      <w:rFonts w:ascii="BlissPro" w:hAnsi="BlissPro" w:cs="BlissPro"/>
      <w:color w:val="00548A"/>
      <w:spacing w:val="-1"/>
      <w:sz w:val="25"/>
      <w:szCs w:val="25"/>
      <w:lang w:val="en-US"/>
    </w:rPr>
  </w:style>
  <w:style w:type="paragraph" w:styleId="IntenseQuote">
    <w:name w:val="Intense Quote"/>
    <w:basedOn w:val="Normal"/>
    <w:next w:val="Normal"/>
    <w:link w:val="IntenseQuoteChar"/>
    <w:uiPriority w:val="30"/>
    <w:qFormat/>
    <w:rsid w:val="005D72AE"/>
    <w:pPr>
      <w:pBdr>
        <w:top w:val="single" w:sz="4" w:space="10" w:color="236192" w:themeColor="accent1"/>
        <w:bottom w:val="single" w:sz="4" w:space="10" w:color="236192" w:themeColor="accent1"/>
      </w:pBdr>
      <w:spacing w:before="360" w:after="360"/>
      <w:ind w:left="864" w:right="864"/>
      <w:jc w:val="center"/>
    </w:pPr>
    <w:rPr>
      <w:i/>
      <w:iCs/>
      <w:color w:val="236192" w:themeColor="accent1"/>
    </w:rPr>
  </w:style>
  <w:style w:type="character" w:customStyle="1" w:styleId="IntenseQuoteChar">
    <w:name w:val="Intense Quote Char"/>
    <w:basedOn w:val="DefaultParagraphFont"/>
    <w:link w:val="IntenseQuote"/>
    <w:uiPriority w:val="30"/>
    <w:rsid w:val="005D72AE"/>
    <w:rPr>
      <w:rFonts w:ascii="Arial" w:eastAsiaTheme="minorEastAsia" w:hAnsi="Arial" w:cs="Arial"/>
      <w:i/>
      <w:iCs/>
      <w:color w:val="236192" w:themeColor="accent1"/>
      <w:spacing w:val="-2"/>
      <w:sz w:val="24"/>
      <w:szCs w:val="20"/>
      <w:lang w:val="en-AU" w:eastAsia="en-AU"/>
    </w:rPr>
  </w:style>
  <w:style w:type="table" w:styleId="PlainTable2">
    <w:name w:val="Plain Table 2"/>
    <w:basedOn w:val="TableNormal"/>
    <w:uiPriority w:val="42"/>
    <w:rsid w:val="005D72AE"/>
    <w:pPr>
      <w:spacing w:after="0" w:line="240" w:lineRule="auto"/>
    </w:pPr>
    <w:rPr>
      <w:rFonts w:eastAsiaTheme="minorEastAsia"/>
      <w:sz w:val="20"/>
      <w:szCs w:val="20"/>
      <w:lang w:val="en-AU"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copy">
    <w:name w:val="Table copy"/>
    <w:basedOn w:val="Normal"/>
    <w:uiPriority w:val="2"/>
    <w:qFormat/>
    <w:rsid w:val="005D72AE"/>
    <w:rPr>
      <w:sz w:val="21"/>
      <w:szCs w:val="21"/>
      <w:lang w:val="en-US"/>
    </w:rPr>
  </w:style>
  <w:style w:type="table" w:styleId="GridTable1Light">
    <w:name w:val="Grid Table 1 Light"/>
    <w:basedOn w:val="TableNormal"/>
    <w:uiPriority w:val="46"/>
    <w:rsid w:val="005D72AE"/>
    <w:pPr>
      <w:spacing w:after="0" w:line="240" w:lineRule="auto"/>
    </w:pPr>
    <w:rPr>
      <w:rFonts w:eastAsiaTheme="minorEastAsia"/>
      <w:sz w:val="20"/>
      <w:szCs w:val="20"/>
      <w:lang w:val="en-AU"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ESC-C-FP01\esc\Templates\ESC\General%20blank%20commission%20template.dotx" TargetMode="External"/></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410B3-77CF-42C0-8A1F-1671D46E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blank commission template</Template>
  <TotalTime>1</TotalTime>
  <Pages>34</Pages>
  <Words>9347</Words>
  <Characters>53284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Syrjanen (ESC)</dc:creator>
  <cp:keywords/>
  <dc:description/>
  <cp:lastModifiedBy>Alexandra Syrjanen (ESC)</cp:lastModifiedBy>
  <cp:revision>1</cp:revision>
  <cp:lastPrinted>2018-01-07T22:54:00Z</cp:lastPrinted>
  <dcterms:created xsi:type="dcterms:W3CDTF">2020-12-15T23:14:00Z</dcterms:created>
  <dcterms:modified xsi:type="dcterms:W3CDTF">2020-12-15T23:15:00Z</dcterms:modified>
</cp:coreProperties>
</file>