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Toc481138395" w:displacedByCustomXml="next"/>
    <w:bookmarkStart w:id="2" w:name="_Toc481138187" w:displacedByCustomXml="next"/>
    <w:bookmarkStart w:id="3" w:name="_Toc48098887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0B26D8CCC9534309B9B5E9DB9F905536"/>
            </w:placeholder>
            <w:showingPlcHdr/>
            <w:text/>
          </w:sdtPr>
          <w:sdtEndPr/>
          <w:sdtContent>
            <w:p w14:paraId="613277D1" w14:textId="77777777" w:rsidR="00067DD9" w:rsidRDefault="00067DD9" w:rsidP="00633068">
              <w:pPr>
                <w:pStyle w:val="NoSpacing"/>
                <w:sectPr w:rsidR="00067DD9" w:rsidSect="005B0C7E">
                  <w:headerReference w:type="even" r:id="rId11"/>
                  <w:headerReference w:type="default" r:id="rId12"/>
                  <w:footerReference w:type="default" r:id="rId13"/>
                  <w:headerReference w:type="first" r:id="rId14"/>
                  <w:footerReference w:type="first" r:id="rId15"/>
                  <w:type w:val="continuous"/>
                  <w:pgSz w:w="11906" w:h="16838" w:code="9"/>
                  <w:pgMar w:top="1134" w:right="1134" w:bottom="1134" w:left="1134" w:header="709" w:footer="692" w:gutter="0"/>
                  <w:pgNumType w:start="0"/>
                  <w:cols w:space="708"/>
                  <w:docGrid w:linePitch="360"/>
                </w:sectPr>
              </w:pPr>
              <w:r>
                <w:t xml:space="preserve">  </w:t>
              </w:r>
            </w:p>
          </w:sdtContent>
        </w:sdt>
        <w:p w14:paraId="682B6843" w14:textId="4DBF29A3" w:rsidR="00067DD9" w:rsidRPr="0063494B" w:rsidRDefault="00993E17" w:rsidP="00633068">
          <w:pPr>
            <w:pStyle w:val="Title"/>
          </w:pPr>
          <w:sdt>
            <w:sdtPr>
              <w:alias w:val="Title"/>
              <w:tag w:val=""/>
              <w:id w:val="-1656833702"/>
              <w:placeholder>
                <w:docPart w:val="CD34D51FC7ED4B339ADA211D80BD0736"/>
              </w:placeholder>
              <w:dataBinding w:prefixMappings="xmlns:ns0='http://purl.org/dc/elements/1.1/' xmlns:ns1='http://schemas.openxmlformats.org/package/2006/metadata/core-properties' " w:xpath="/ns1:coreProperties[1]/ns0:title[1]" w:storeItemID="{6C3C8BC8-F283-45AE-878A-BAB7291924A1}"/>
              <w:text/>
            </w:sdtPr>
            <w:sdtEndPr/>
            <w:sdtContent>
              <w:r w:rsidR="000A7423">
                <w:t>Review of New Customer Contributions</w:t>
              </w:r>
            </w:sdtContent>
          </w:sdt>
        </w:p>
        <w:p w14:paraId="644BBC49" w14:textId="18995537" w:rsidR="00067DD9" w:rsidRDefault="00993E17" w:rsidP="00633068">
          <w:pPr>
            <w:pStyle w:val="Subtitle"/>
          </w:pPr>
          <w:sdt>
            <w:sdtPr>
              <w:alias w:val="Subtitle"/>
              <w:tag w:val=""/>
              <w:id w:val="1140151582"/>
              <w:placeholder>
                <w:docPart w:val="930D09F6A6A34FC6A8C8F9F23AF8CC6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1A1D">
                <w:t xml:space="preserve">Consultation </w:t>
              </w:r>
              <w:r w:rsidR="006E6C37">
                <w:t>paper</w:t>
              </w:r>
            </w:sdtContent>
          </w:sdt>
        </w:p>
        <w:p w14:paraId="48833694" w14:textId="072FFD05" w:rsidR="00067DD9" w:rsidRDefault="00993E17" w:rsidP="000A7FD9">
          <w:pPr>
            <w:pStyle w:val="Subtitle"/>
          </w:pPr>
          <w:sdt>
            <w:sdtPr>
              <w:id w:val="1251166870"/>
              <w:placeholder>
                <w:docPart w:val="7DEA0B61CCDE4F55AAFD0271676C1294"/>
              </w:placeholder>
              <w:date w:fullDate="2024-08-15T00:00:00Z">
                <w:dateFormat w:val="d MMMM yyyy"/>
                <w:lid w:val="en-US"/>
                <w:storeMappedDataAs w:val="dateTime"/>
                <w:calendar w:val="gregorian"/>
              </w:date>
            </w:sdtPr>
            <w:sdtEndPr/>
            <w:sdtContent>
              <w:r w:rsidR="00082FD4" w:rsidRPr="00E52E6F">
                <w:rPr>
                  <w:lang w:val="en-US"/>
                </w:rPr>
                <w:t>15</w:t>
              </w:r>
              <w:r w:rsidR="002C14A6" w:rsidRPr="00E52E6F">
                <w:rPr>
                  <w:lang w:val="en-US"/>
                </w:rPr>
                <w:t xml:space="preserve"> August 2024</w:t>
              </w:r>
            </w:sdtContent>
          </w:sdt>
        </w:p>
        <w:p w14:paraId="6CD1A17B" w14:textId="77777777" w:rsidR="00067DD9" w:rsidRDefault="00067DD9"/>
        <w:p w14:paraId="412CE418" w14:textId="77777777" w:rsidR="00067DD9" w:rsidRDefault="00067DD9">
          <w:pPr>
            <w:spacing w:line="259" w:lineRule="auto"/>
          </w:pPr>
          <w:r>
            <w:br w:type="page"/>
          </w:r>
        </w:p>
      </w:sdtContent>
    </w:sdt>
    <w:p w14:paraId="70C3C997" w14:textId="77777777" w:rsidR="00D04C6D" w:rsidRDefault="00D04C6D" w:rsidP="00D04C6D"/>
    <w:p w14:paraId="2219870A" w14:textId="77777777" w:rsidR="00D04C6D" w:rsidRDefault="00D04C6D" w:rsidP="00D04C6D"/>
    <w:p w14:paraId="485E54BD" w14:textId="77777777" w:rsidR="00D04C6D" w:rsidRDefault="00D04C6D" w:rsidP="00D04C6D">
      <w:pPr>
        <w:pStyle w:val="Heading2"/>
      </w:pPr>
      <w:bookmarkStart w:id="5" w:name="_Toc165561568"/>
      <w:bookmarkStart w:id="6" w:name="_Toc171596109"/>
      <w:bookmarkStart w:id="7" w:name="_Toc174348944"/>
      <w:r>
        <w:t>Acknowledgement</w:t>
      </w:r>
      <w:bookmarkEnd w:id="5"/>
      <w:bookmarkEnd w:id="6"/>
      <w:bookmarkEnd w:id="7"/>
    </w:p>
    <w:p w14:paraId="65E5A2C9" w14:textId="77777777" w:rsidR="00D04C6D" w:rsidRDefault="00D04C6D" w:rsidP="00D04C6D">
      <w:r>
        <w:t>We acknowledge the Traditional Owners of the lands and waterways on which we work and live.</w:t>
      </w:r>
    </w:p>
    <w:p w14:paraId="35A2E7D7" w14:textId="77777777" w:rsidR="00D04C6D" w:rsidRDefault="00D04C6D" w:rsidP="00D04C6D">
      <w:r>
        <w:t xml:space="preserve">We acknowledge all Aboriginal and Torres Strait Islander </w:t>
      </w:r>
      <w:proofErr w:type="gramStart"/>
      <w:r>
        <w:t>communities, and</w:t>
      </w:r>
      <w:proofErr w:type="gramEnd"/>
      <w:r>
        <w:t xml:space="preserve"> pay our respects to Elders past and present.</w:t>
      </w:r>
    </w:p>
    <w:p w14:paraId="45A4EF62" w14:textId="77777777" w:rsidR="00D04C6D" w:rsidRDefault="00D04C6D" w:rsidP="00D04C6D">
      <w:r>
        <w:t>As the First Peoples of this land, belonging to the world’s oldest living cultures, we recognise and value their knowledge, and ongoing role in shaping and enriching the story of Victoria.  </w:t>
      </w:r>
    </w:p>
    <w:p w14:paraId="638058FE" w14:textId="77777777" w:rsidR="00F83935" w:rsidRDefault="00F83935" w:rsidP="000D4547">
      <w:pPr>
        <w:pStyle w:val="NoSpacing"/>
        <w:rPr>
          <w:b/>
        </w:rPr>
      </w:pPr>
    </w:p>
    <w:p w14:paraId="4DE2F2AC" w14:textId="77777777" w:rsidR="00D04C6D" w:rsidRDefault="00D04C6D" w:rsidP="00F83935">
      <w:pPr>
        <w:spacing w:line="259" w:lineRule="auto"/>
        <w:rPr>
          <w:rStyle w:val="Strong"/>
        </w:rPr>
      </w:pPr>
    </w:p>
    <w:p w14:paraId="31D6B53D" w14:textId="77777777" w:rsidR="009674C7" w:rsidRDefault="009674C7" w:rsidP="00F83935">
      <w:pPr>
        <w:spacing w:line="259" w:lineRule="auto"/>
        <w:rPr>
          <w:rStyle w:val="Strong"/>
        </w:rPr>
      </w:pPr>
    </w:p>
    <w:p w14:paraId="0B718E64" w14:textId="77777777" w:rsidR="00492976" w:rsidRDefault="00492976" w:rsidP="00F83935">
      <w:pPr>
        <w:spacing w:line="259" w:lineRule="auto"/>
        <w:rPr>
          <w:rStyle w:val="Strong"/>
        </w:rPr>
      </w:pPr>
    </w:p>
    <w:p w14:paraId="2F0A8AFB" w14:textId="77777777" w:rsidR="00D04C6D" w:rsidRDefault="00D04C6D" w:rsidP="00F83935">
      <w:pPr>
        <w:spacing w:line="259" w:lineRule="auto"/>
        <w:rPr>
          <w:rStyle w:val="Strong"/>
        </w:rPr>
      </w:pPr>
    </w:p>
    <w:p w14:paraId="42827FFF"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2375380C" w14:textId="0103C162" w:rsidR="00943BDE" w:rsidRDefault="00881E07" w:rsidP="00943BDE">
      <w:r>
        <w:t>Essential Services Commission</w:t>
      </w:r>
      <w:r w:rsidR="003904B9">
        <w:t xml:space="preserve"> </w:t>
      </w:r>
      <w:sdt>
        <w:sdtPr>
          <w:alias w:val="Year"/>
          <w:tag w:val="Year"/>
          <w:id w:val="-1184668763"/>
          <w:placeholder>
            <w:docPart w:val="F0144DCCD14F4430B410C534DEC49CFC"/>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E6C37">
            <w:t>2024</w:t>
          </w:r>
        </w:sdtContent>
      </w:sdt>
      <w:r>
        <w:t xml:space="preserve">, </w:t>
      </w:r>
      <w:r w:rsidR="000A7423" w:rsidRPr="0063781B">
        <w:rPr>
          <w:i/>
          <w:iCs/>
        </w:rPr>
        <w:t>Review of New Customer Contributions</w:t>
      </w:r>
      <w:r w:rsidR="00633068" w:rsidRPr="0063781B">
        <w:rPr>
          <w:i/>
          <w:iCs/>
        </w:rPr>
        <w:t xml:space="preserve">: </w:t>
      </w:r>
      <w:sdt>
        <w:sdtPr>
          <w:rPr>
            <w:i/>
            <w:iCs/>
          </w:rPr>
          <w:alias w:val="Subtitle"/>
          <w:tag w:val=""/>
          <w:id w:val="-295916621"/>
          <w:placeholder>
            <w:docPart w:val="C3B5F2BDCEE444C89923D06CD3C3F25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D1A1D" w:rsidRPr="0063781B">
            <w:rPr>
              <w:i/>
              <w:iCs/>
            </w:rPr>
            <w:t>Consultation paper</w:t>
          </w:r>
        </w:sdtContent>
      </w:sdt>
      <w:r w:rsidR="00633068">
        <w:t xml:space="preserve"> </w:t>
      </w:r>
      <w:sdt>
        <w:sdtPr>
          <w:alias w:val="Date"/>
          <w:tag w:val="Year"/>
          <w:id w:val="1749995757"/>
          <w:placeholder>
            <w:docPart w:val="2D069FF497B14A1C9AABCCE6349E463B"/>
          </w:placeholder>
          <w:date w:fullDate="2024-08-15T00:00:00Z">
            <w:dateFormat w:val="d MMMM "/>
            <w:lid w:val="en-US"/>
            <w:storeMappedDataAs w:val="dateTime"/>
            <w:calendar w:val="gregorian"/>
          </w:date>
        </w:sdtPr>
        <w:sdtEndPr/>
        <w:sdtContent>
          <w:r w:rsidR="00337C15">
            <w:rPr>
              <w:lang w:val="en-US"/>
            </w:rPr>
            <w:t>15</w:t>
          </w:r>
          <w:r w:rsidR="00454B46">
            <w:rPr>
              <w:lang w:val="en-US"/>
            </w:rPr>
            <w:t xml:space="preserve"> August </w:t>
          </w:r>
        </w:sdtContent>
      </w:sdt>
      <w:r w:rsidR="003904B9">
        <w:t xml:space="preserve"> </w:t>
      </w:r>
      <w:sdt>
        <w:sdtPr>
          <w:alias w:val="Year"/>
          <w:tag w:val="Year"/>
          <w:id w:val="829015747"/>
          <w:placeholder>
            <w:docPart w:val="1036161D62E143488B3A37EAF6B7605D"/>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E6C37">
            <w:t>2024</w:t>
          </w:r>
        </w:sdtContent>
      </w:sdt>
    </w:p>
    <w:p w14:paraId="62F3F91A" w14:textId="77777777" w:rsidR="00710792" w:rsidRDefault="00710792" w:rsidP="00710792">
      <w:pPr>
        <w:rPr>
          <w:rStyle w:val="Strong"/>
        </w:rPr>
      </w:pPr>
      <w:bookmarkStart w:id="8" w:name="_Toc480988876"/>
      <w:bookmarkStart w:id="9" w:name="_Toc481138188"/>
      <w:bookmarkStart w:id="10" w:name="_Toc481138396"/>
    </w:p>
    <w:p w14:paraId="2D675156" w14:textId="77777777" w:rsidR="009674C7" w:rsidRDefault="009674C7" w:rsidP="00710792">
      <w:pPr>
        <w:rPr>
          <w:rStyle w:val="Strong"/>
        </w:rPr>
      </w:pPr>
    </w:p>
    <w:p w14:paraId="7AA2A244" w14:textId="77777777" w:rsidR="009674C7" w:rsidRDefault="009674C7" w:rsidP="00710792">
      <w:pPr>
        <w:rPr>
          <w:rStyle w:val="Strong"/>
        </w:rPr>
      </w:pPr>
    </w:p>
    <w:bookmarkEnd w:id="8"/>
    <w:bookmarkEnd w:id="9"/>
    <w:bookmarkEnd w:id="10"/>
    <w:p w14:paraId="44A844FE" w14:textId="4420A2D7" w:rsidR="0050064B" w:rsidRDefault="00881E07" w:rsidP="00943BDE">
      <w:r>
        <w:t xml:space="preserve">© </w:t>
      </w:r>
      <w:r w:rsidR="00563AD8">
        <w:t>Essential Services Commission</w:t>
      </w:r>
      <w:r w:rsidR="00012434">
        <w:t>,</w:t>
      </w:r>
      <w:r w:rsidR="00563AD8">
        <w:t xml:space="preserve"> </w:t>
      </w:r>
      <w:sdt>
        <w:sdtPr>
          <w:alias w:val="Year"/>
          <w:tag w:val="Year"/>
          <w:id w:val="1606076632"/>
          <w:placeholder>
            <w:docPart w:val="AED240F9F4284DE780CFD1F88DF04FC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E6C37">
            <w:t>2024</w:t>
          </w:r>
        </w:sdtContent>
      </w:sdt>
    </w:p>
    <w:p w14:paraId="066BA95B" w14:textId="77777777" w:rsidR="00881E07" w:rsidRDefault="0050064B" w:rsidP="00881E07">
      <w:r w:rsidRPr="00F70F20">
        <w:rPr>
          <w:noProof/>
          <w:lang w:eastAsia="en-AU"/>
        </w:rPr>
        <w:drawing>
          <wp:inline distT="0" distB="0" distL="0" distR="0" wp14:anchorId="27D70714" wp14:editId="7F37405C">
            <wp:extent cx="1198800" cy="421200"/>
            <wp:effectExtent l="0" t="0" r="1905" b="0"/>
            <wp:docPr id="4" name="Picture 4" descr="untitl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6B4CBCCE" w14:textId="3A1865D2" w:rsidR="00881E07" w:rsidRDefault="00881E07" w:rsidP="00881E07">
      <w:r>
        <w:t xml:space="preserve">This work, </w:t>
      </w:r>
      <w:r w:rsidR="000A7423">
        <w:t>Review of New Customer Contributions</w:t>
      </w:r>
      <w:r w:rsidR="00716C6D">
        <w:t xml:space="preserve">: </w:t>
      </w:r>
      <w:sdt>
        <w:sdtPr>
          <w:alias w:val="Subtitle"/>
          <w:tag w:val=""/>
          <w:id w:val="-1162003455"/>
          <w:placeholder>
            <w:docPart w:val="8C51EE57D5C1425FAB19C3A80FCA41F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16C6D">
            <w:t>Consultation paper</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47028F9B" w14:textId="77777777" w:rsidR="00544AA3" w:rsidRDefault="00881E07" w:rsidP="004309BF">
      <w:r>
        <w:t>The licence does not apply to any brand logo, images or photographs within the publication.</w:t>
      </w:r>
      <w:bookmarkEnd w:id="4"/>
      <w:sdt>
        <w:sdtPr>
          <w:id w:val="1471545339"/>
          <w:lock w:val="sdtContentLocked"/>
          <w:placeholder>
            <w:docPart w:val="834F06C6F49A4A6A95079B7FA0B0CB7A"/>
          </w:placeholder>
          <w:showingPlcHdr/>
          <w:text/>
        </w:sdtPr>
        <w:sdtEndPr/>
        <w:sdtContent>
          <w:r w:rsidR="004309BF">
            <w:t xml:space="preserve">  </w:t>
          </w:r>
        </w:sdtContent>
      </w:sdt>
    </w:p>
    <w:p w14:paraId="06051F95" w14:textId="039EA9C1" w:rsidR="004309BF" w:rsidRDefault="004309BF" w:rsidP="004309BF"/>
    <w:p w14:paraId="07666DCE" w14:textId="77777777" w:rsidR="009674C7" w:rsidRDefault="009674C7" w:rsidP="004309BF"/>
    <w:p w14:paraId="65422263" w14:textId="77777777" w:rsidR="008F7087" w:rsidRDefault="008F7087" w:rsidP="00EF0439">
      <w:bookmarkStart w:id="11" w:name="_Toc481138189"/>
      <w:bookmarkStart w:id="12" w:name="_Toc481138397"/>
    </w:p>
    <w:p w14:paraId="0D995A58" w14:textId="77777777" w:rsidR="008F7087" w:rsidRDefault="008F7087" w:rsidP="001A0FB9">
      <w:pPr>
        <w:sectPr w:rsidR="008F7087" w:rsidSect="005B0C7E">
          <w:headerReference w:type="default" r:id="rId18"/>
          <w:footerReference w:type="default" r:id="rId19"/>
          <w:type w:val="continuous"/>
          <w:pgSz w:w="11906" w:h="16838" w:code="9"/>
          <w:pgMar w:top="1134" w:right="1134" w:bottom="1134" w:left="1134" w:header="709" w:footer="692" w:gutter="0"/>
          <w:pgNumType w:fmt="lowerRoman"/>
          <w:cols w:space="708"/>
          <w:docGrid w:linePitch="360"/>
        </w:sectPr>
      </w:pPr>
    </w:p>
    <w:bookmarkEnd w:id="11"/>
    <w:bookmarkEnd w:id="12"/>
    <w:p w14:paraId="30093F94" w14:textId="6AD3EE99" w:rsidR="00D3670C" w:rsidRPr="00394187" w:rsidRDefault="00D3670C" w:rsidP="00394187">
      <w:pPr>
        <w:pStyle w:val="TOCHeading"/>
        <w:rPr>
          <w:rStyle w:val="Hyperlink"/>
          <w:color w:val="CE0058" w:themeColor="accent2"/>
          <w:u w:val="none"/>
        </w:rPr>
      </w:pPr>
      <w:r w:rsidRPr="00394187">
        <w:rPr>
          <w:rStyle w:val="Hyperlink"/>
          <w:color w:val="CE0058" w:themeColor="accent2"/>
          <w:u w:val="none"/>
        </w:rPr>
        <w:t>Contents</w:t>
      </w:r>
    </w:p>
    <w:p w14:paraId="1DC9110B" w14:textId="2A1A8615" w:rsidR="00DD391C" w:rsidRDefault="00782E55">
      <w:pPr>
        <w:pStyle w:val="TOC3"/>
        <w:rPr>
          <w:rFonts w:eastAsiaTheme="minorEastAsia"/>
          <w:kern w:val="2"/>
          <w:sz w:val="24"/>
          <w:szCs w:val="24"/>
          <w:lang w:val="en-AU"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74348944" w:history="1">
        <w:r w:rsidR="00DD391C" w:rsidRPr="00E92B58">
          <w:rPr>
            <w:rStyle w:val="Hyperlink"/>
          </w:rPr>
          <w:t>Acknowledgement</w:t>
        </w:r>
        <w:r w:rsidR="00DD391C">
          <w:rPr>
            <w:webHidden/>
          </w:rPr>
          <w:tab/>
        </w:r>
        <w:r w:rsidR="00DD391C">
          <w:rPr>
            <w:webHidden/>
          </w:rPr>
          <w:fldChar w:fldCharType="begin"/>
        </w:r>
        <w:r w:rsidR="00DD391C">
          <w:rPr>
            <w:webHidden/>
          </w:rPr>
          <w:instrText xml:space="preserve"> PAGEREF _Toc174348944 \h </w:instrText>
        </w:r>
        <w:r w:rsidR="00DD391C">
          <w:rPr>
            <w:webHidden/>
          </w:rPr>
        </w:r>
        <w:r w:rsidR="00DD391C">
          <w:rPr>
            <w:webHidden/>
          </w:rPr>
          <w:fldChar w:fldCharType="separate"/>
        </w:r>
        <w:r w:rsidR="009A4DD8">
          <w:rPr>
            <w:webHidden/>
          </w:rPr>
          <w:t>i</w:t>
        </w:r>
        <w:r w:rsidR="00DD391C">
          <w:rPr>
            <w:webHidden/>
          </w:rPr>
          <w:fldChar w:fldCharType="end"/>
        </w:r>
      </w:hyperlink>
    </w:p>
    <w:p w14:paraId="459FA5A4" w14:textId="671F5A95" w:rsidR="00DD391C" w:rsidRDefault="00993E17">
      <w:pPr>
        <w:pStyle w:val="TOC2"/>
        <w:rPr>
          <w:rFonts w:eastAsiaTheme="minorEastAsia"/>
          <w:b w:val="0"/>
          <w:bCs w:val="0"/>
          <w:kern w:val="2"/>
          <w:sz w:val="24"/>
          <w:szCs w:val="24"/>
          <w:lang w:eastAsia="en-AU"/>
          <w14:ligatures w14:val="standardContextual"/>
        </w:rPr>
      </w:pPr>
      <w:hyperlink w:anchor="_Toc174348945" w:history="1">
        <w:r w:rsidR="00DD391C" w:rsidRPr="00E92B58">
          <w:rPr>
            <w:rStyle w:val="Hyperlink"/>
          </w:rPr>
          <w:t>1.</w:t>
        </w:r>
        <w:r w:rsidR="00DD391C">
          <w:rPr>
            <w:rFonts w:eastAsiaTheme="minorEastAsia"/>
            <w:b w:val="0"/>
            <w:bCs w:val="0"/>
            <w:kern w:val="2"/>
            <w:sz w:val="24"/>
            <w:szCs w:val="24"/>
            <w:lang w:eastAsia="en-AU"/>
            <w14:ligatures w14:val="standardContextual"/>
          </w:rPr>
          <w:tab/>
        </w:r>
        <w:r w:rsidR="00DD391C" w:rsidRPr="00E92B58">
          <w:rPr>
            <w:rStyle w:val="Hyperlink"/>
          </w:rPr>
          <w:t>Overview</w:t>
        </w:r>
        <w:r w:rsidR="00DD391C">
          <w:rPr>
            <w:webHidden/>
          </w:rPr>
          <w:tab/>
        </w:r>
        <w:r w:rsidR="00DD391C">
          <w:rPr>
            <w:webHidden/>
          </w:rPr>
          <w:fldChar w:fldCharType="begin"/>
        </w:r>
        <w:r w:rsidR="00DD391C">
          <w:rPr>
            <w:webHidden/>
          </w:rPr>
          <w:instrText xml:space="preserve"> PAGEREF _Toc174348945 \h </w:instrText>
        </w:r>
        <w:r w:rsidR="00DD391C">
          <w:rPr>
            <w:webHidden/>
          </w:rPr>
        </w:r>
        <w:r w:rsidR="00DD391C">
          <w:rPr>
            <w:webHidden/>
          </w:rPr>
          <w:fldChar w:fldCharType="separate"/>
        </w:r>
        <w:r w:rsidR="009A4DD8">
          <w:rPr>
            <w:webHidden/>
          </w:rPr>
          <w:t>1</w:t>
        </w:r>
        <w:r w:rsidR="00DD391C">
          <w:rPr>
            <w:webHidden/>
          </w:rPr>
          <w:fldChar w:fldCharType="end"/>
        </w:r>
      </w:hyperlink>
    </w:p>
    <w:p w14:paraId="3E37081B" w14:textId="7779C7EE" w:rsidR="00DD391C" w:rsidRDefault="00993E17">
      <w:pPr>
        <w:pStyle w:val="TOC2"/>
        <w:rPr>
          <w:rFonts w:eastAsiaTheme="minorEastAsia"/>
          <w:b w:val="0"/>
          <w:bCs w:val="0"/>
          <w:kern w:val="2"/>
          <w:sz w:val="24"/>
          <w:szCs w:val="24"/>
          <w:lang w:eastAsia="en-AU"/>
          <w14:ligatures w14:val="standardContextual"/>
        </w:rPr>
      </w:pPr>
      <w:hyperlink w:anchor="_Toc174348950" w:history="1">
        <w:r w:rsidR="00DD391C" w:rsidRPr="00E92B58">
          <w:rPr>
            <w:rStyle w:val="Hyperlink"/>
          </w:rPr>
          <w:t>2.</w:t>
        </w:r>
        <w:r w:rsidR="00DD391C">
          <w:rPr>
            <w:rFonts w:eastAsiaTheme="minorEastAsia"/>
            <w:b w:val="0"/>
            <w:bCs w:val="0"/>
            <w:kern w:val="2"/>
            <w:sz w:val="24"/>
            <w:szCs w:val="24"/>
            <w:lang w:eastAsia="en-AU"/>
            <w14:ligatures w14:val="standardContextual"/>
          </w:rPr>
          <w:tab/>
        </w:r>
        <w:r w:rsidR="00DD391C" w:rsidRPr="00E92B58">
          <w:rPr>
            <w:rStyle w:val="Hyperlink"/>
          </w:rPr>
          <w:t>New customer contributions and the regulatory framework</w:t>
        </w:r>
        <w:r w:rsidR="00DD391C">
          <w:rPr>
            <w:webHidden/>
          </w:rPr>
          <w:tab/>
        </w:r>
        <w:r w:rsidR="00DD391C">
          <w:rPr>
            <w:webHidden/>
          </w:rPr>
          <w:fldChar w:fldCharType="begin"/>
        </w:r>
        <w:r w:rsidR="00DD391C">
          <w:rPr>
            <w:webHidden/>
          </w:rPr>
          <w:instrText xml:space="preserve"> PAGEREF _Toc174348950 \h </w:instrText>
        </w:r>
        <w:r w:rsidR="00DD391C">
          <w:rPr>
            <w:webHidden/>
          </w:rPr>
        </w:r>
        <w:r w:rsidR="00DD391C">
          <w:rPr>
            <w:webHidden/>
          </w:rPr>
          <w:fldChar w:fldCharType="separate"/>
        </w:r>
        <w:r w:rsidR="009A4DD8">
          <w:rPr>
            <w:webHidden/>
          </w:rPr>
          <w:t>7</w:t>
        </w:r>
        <w:r w:rsidR="00DD391C">
          <w:rPr>
            <w:webHidden/>
          </w:rPr>
          <w:fldChar w:fldCharType="end"/>
        </w:r>
      </w:hyperlink>
    </w:p>
    <w:p w14:paraId="63C0FFDC" w14:textId="6162317D" w:rsidR="00DD391C" w:rsidRDefault="00993E17">
      <w:pPr>
        <w:pStyle w:val="TOC2"/>
        <w:rPr>
          <w:rFonts w:eastAsiaTheme="minorEastAsia"/>
          <w:b w:val="0"/>
          <w:bCs w:val="0"/>
          <w:kern w:val="2"/>
          <w:sz w:val="24"/>
          <w:szCs w:val="24"/>
          <w:lang w:eastAsia="en-AU"/>
          <w14:ligatures w14:val="standardContextual"/>
        </w:rPr>
      </w:pPr>
      <w:hyperlink w:anchor="_Toc174348958" w:history="1">
        <w:r w:rsidR="00DD391C" w:rsidRPr="00E92B58">
          <w:rPr>
            <w:rStyle w:val="Hyperlink"/>
          </w:rPr>
          <w:t>3.</w:t>
        </w:r>
        <w:r w:rsidR="00DD391C">
          <w:rPr>
            <w:rFonts w:eastAsiaTheme="minorEastAsia"/>
            <w:b w:val="0"/>
            <w:bCs w:val="0"/>
            <w:kern w:val="2"/>
            <w:sz w:val="24"/>
            <w:szCs w:val="24"/>
            <w:lang w:eastAsia="en-AU"/>
            <w14:ligatures w14:val="standardContextual"/>
          </w:rPr>
          <w:tab/>
        </w:r>
        <w:r w:rsidR="00DD391C" w:rsidRPr="00E92B58">
          <w:rPr>
            <w:rStyle w:val="Hyperlink"/>
          </w:rPr>
          <w:t>A principles-based new customer contributions framework</w:t>
        </w:r>
        <w:r w:rsidR="00DD391C">
          <w:rPr>
            <w:webHidden/>
          </w:rPr>
          <w:tab/>
        </w:r>
        <w:r w:rsidR="00DD391C">
          <w:rPr>
            <w:webHidden/>
          </w:rPr>
          <w:fldChar w:fldCharType="begin"/>
        </w:r>
        <w:r w:rsidR="00DD391C">
          <w:rPr>
            <w:webHidden/>
          </w:rPr>
          <w:instrText xml:space="preserve"> PAGEREF _Toc174348958 \h </w:instrText>
        </w:r>
        <w:r w:rsidR="00DD391C">
          <w:rPr>
            <w:webHidden/>
          </w:rPr>
        </w:r>
        <w:r w:rsidR="00DD391C">
          <w:rPr>
            <w:webHidden/>
          </w:rPr>
          <w:fldChar w:fldCharType="separate"/>
        </w:r>
        <w:r w:rsidR="009A4DD8">
          <w:rPr>
            <w:webHidden/>
          </w:rPr>
          <w:t>14</w:t>
        </w:r>
        <w:r w:rsidR="00DD391C">
          <w:rPr>
            <w:webHidden/>
          </w:rPr>
          <w:fldChar w:fldCharType="end"/>
        </w:r>
      </w:hyperlink>
    </w:p>
    <w:p w14:paraId="366A8257" w14:textId="2E14A7D2" w:rsidR="00DD391C" w:rsidRDefault="00993E17">
      <w:pPr>
        <w:pStyle w:val="TOC2"/>
        <w:rPr>
          <w:rFonts w:eastAsiaTheme="minorEastAsia"/>
          <w:b w:val="0"/>
          <w:bCs w:val="0"/>
          <w:kern w:val="2"/>
          <w:sz w:val="24"/>
          <w:szCs w:val="24"/>
          <w:lang w:eastAsia="en-AU"/>
          <w14:ligatures w14:val="standardContextual"/>
        </w:rPr>
      </w:pPr>
      <w:hyperlink w:anchor="_Toc174348961" w:history="1">
        <w:r w:rsidR="00DD391C" w:rsidRPr="00E92B58">
          <w:rPr>
            <w:rStyle w:val="Hyperlink"/>
            <w:lang w:val="en-GB" w:eastAsia="zh-CN"/>
          </w:rPr>
          <w:t>4.</w:t>
        </w:r>
        <w:r w:rsidR="00DD391C">
          <w:rPr>
            <w:rFonts w:eastAsiaTheme="minorEastAsia"/>
            <w:b w:val="0"/>
            <w:bCs w:val="0"/>
            <w:kern w:val="2"/>
            <w:sz w:val="24"/>
            <w:szCs w:val="24"/>
            <w:lang w:eastAsia="en-AU"/>
            <w14:ligatures w14:val="standardContextual"/>
          </w:rPr>
          <w:tab/>
        </w:r>
        <w:r w:rsidR="00DD391C" w:rsidRPr="00E92B58">
          <w:rPr>
            <w:rStyle w:val="Hyperlink"/>
            <w:lang w:val="en-GB" w:eastAsia="zh-CN"/>
          </w:rPr>
          <w:t>Good implementation of new customer contributions within a principles-based framework</w:t>
        </w:r>
        <w:r w:rsidR="00DD391C">
          <w:rPr>
            <w:webHidden/>
          </w:rPr>
          <w:tab/>
        </w:r>
        <w:r w:rsidR="00DD391C">
          <w:rPr>
            <w:webHidden/>
          </w:rPr>
          <w:fldChar w:fldCharType="begin"/>
        </w:r>
        <w:r w:rsidR="00DD391C">
          <w:rPr>
            <w:webHidden/>
          </w:rPr>
          <w:instrText xml:space="preserve"> PAGEREF _Toc174348961 \h </w:instrText>
        </w:r>
        <w:r w:rsidR="00DD391C">
          <w:rPr>
            <w:webHidden/>
          </w:rPr>
        </w:r>
        <w:r w:rsidR="00DD391C">
          <w:rPr>
            <w:webHidden/>
          </w:rPr>
          <w:fldChar w:fldCharType="separate"/>
        </w:r>
        <w:r w:rsidR="009A4DD8">
          <w:rPr>
            <w:webHidden/>
          </w:rPr>
          <w:t>17</w:t>
        </w:r>
        <w:r w:rsidR="00DD391C">
          <w:rPr>
            <w:webHidden/>
          </w:rPr>
          <w:fldChar w:fldCharType="end"/>
        </w:r>
      </w:hyperlink>
    </w:p>
    <w:p w14:paraId="57CDD037" w14:textId="14415384" w:rsidR="00DD391C" w:rsidRDefault="00993E17">
      <w:pPr>
        <w:pStyle w:val="TOC2"/>
        <w:rPr>
          <w:rFonts w:eastAsiaTheme="minorEastAsia"/>
          <w:b w:val="0"/>
          <w:bCs w:val="0"/>
          <w:kern w:val="2"/>
          <w:sz w:val="24"/>
          <w:szCs w:val="24"/>
          <w:lang w:eastAsia="en-AU"/>
          <w14:ligatures w14:val="standardContextual"/>
        </w:rPr>
      </w:pPr>
      <w:hyperlink w:anchor="_Toc174348967" w:history="1">
        <w:r w:rsidR="00DD391C" w:rsidRPr="00E92B58">
          <w:rPr>
            <w:rStyle w:val="Hyperlink"/>
          </w:rPr>
          <w:t>5.</w:t>
        </w:r>
        <w:r w:rsidR="00DD391C">
          <w:rPr>
            <w:rFonts w:eastAsiaTheme="minorEastAsia"/>
            <w:b w:val="0"/>
            <w:bCs w:val="0"/>
            <w:kern w:val="2"/>
            <w:sz w:val="24"/>
            <w:szCs w:val="24"/>
            <w:lang w:eastAsia="en-AU"/>
            <w14:ligatures w14:val="standardContextual"/>
          </w:rPr>
          <w:tab/>
        </w:r>
        <w:r w:rsidR="00DD391C" w:rsidRPr="00E92B58">
          <w:rPr>
            <w:rStyle w:val="Hyperlink"/>
          </w:rPr>
          <w:t>Key implementation issues to address</w:t>
        </w:r>
        <w:r w:rsidR="00DD391C">
          <w:rPr>
            <w:webHidden/>
          </w:rPr>
          <w:tab/>
        </w:r>
        <w:r w:rsidR="00DD391C">
          <w:rPr>
            <w:webHidden/>
          </w:rPr>
          <w:fldChar w:fldCharType="begin"/>
        </w:r>
        <w:r w:rsidR="00DD391C">
          <w:rPr>
            <w:webHidden/>
          </w:rPr>
          <w:instrText xml:space="preserve"> PAGEREF _Toc174348967 \h </w:instrText>
        </w:r>
        <w:r w:rsidR="00DD391C">
          <w:rPr>
            <w:webHidden/>
          </w:rPr>
        </w:r>
        <w:r w:rsidR="00DD391C">
          <w:rPr>
            <w:webHidden/>
          </w:rPr>
          <w:fldChar w:fldCharType="separate"/>
        </w:r>
        <w:r w:rsidR="009A4DD8">
          <w:rPr>
            <w:webHidden/>
          </w:rPr>
          <w:t>20</w:t>
        </w:r>
        <w:r w:rsidR="00DD391C">
          <w:rPr>
            <w:webHidden/>
          </w:rPr>
          <w:fldChar w:fldCharType="end"/>
        </w:r>
      </w:hyperlink>
    </w:p>
    <w:p w14:paraId="0DB9A14E" w14:textId="5AA85A7F" w:rsidR="00DD391C" w:rsidRDefault="00993E17">
      <w:pPr>
        <w:pStyle w:val="TOC4"/>
        <w:rPr>
          <w:rFonts w:eastAsiaTheme="minorEastAsia"/>
          <w:kern w:val="2"/>
          <w:sz w:val="24"/>
          <w:szCs w:val="24"/>
          <w:lang w:eastAsia="en-AU"/>
          <w14:ligatures w14:val="standardContextual"/>
        </w:rPr>
      </w:pPr>
      <w:hyperlink w:anchor="_Toc174348968" w:history="1">
        <w:r w:rsidR="00DD391C" w:rsidRPr="00E92B58">
          <w:rPr>
            <w:rStyle w:val="Hyperlink"/>
            <w:lang w:val="en-GB" w:eastAsia="zh-CN"/>
          </w:rPr>
          <w:t>Unjustified cost attribution</w:t>
        </w:r>
        <w:r w:rsidR="00DD391C">
          <w:rPr>
            <w:webHidden/>
          </w:rPr>
          <w:tab/>
        </w:r>
        <w:r w:rsidR="00DD391C">
          <w:rPr>
            <w:webHidden/>
          </w:rPr>
          <w:fldChar w:fldCharType="begin"/>
        </w:r>
        <w:r w:rsidR="00DD391C">
          <w:rPr>
            <w:webHidden/>
          </w:rPr>
          <w:instrText xml:space="preserve"> PAGEREF _Toc174348968 \h </w:instrText>
        </w:r>
        <w:r w:rsidR="00DD391C">
          <w:rPr>
            <w:webHidden/>
          </w:rPr>
        </w:r>
        <w:r w:rsidR="00DD391C">
          <w:rPr>
            <w:webHidden/>
          </w:rPr>
          <w:fldChar w:fldCharType="separate"/>
        </w:r>
        <w:r w:rsidR="009A4DD8">
          <w:rPr>
            <w:webHidden/>
          </w:rPr>
          <w:t>20</w:t>
        </w:r>
        <w:r w:rsidR="00DD391C">
          <w:rPr>
            <w:webHidden/>
          </w:rPr>
          <w:fldChar w:fldCharType="end"/>
        </w:r>
      </w:hyperlink>
    </w:p>
    <w:p w14:paraId="256DE037" w14:textId="52AAAE83" w:rsidR="00DD391C" w:rsidRDefault="00993E17">
      <w:pPr>
        <w:pStyle w:val="TOC4"/>
        <w:rPr>
          <w:rFonts w:eastAsiaTheme="minorEastAsia"/>
          <w:kern w:val="2"/>
          <w:sz w:val="24"/>
          <w:szCs w:val="24"/>
          <w:lang w:eastAsia="en-AU"/>
          <w14:ligatures w14:val="standardContextual"/>
        </w:rPr>
      </w:pPr>
      <w:hyperlink w:anchor="_Toc174348969" w:history="1">
        <w:r w:rsidR="00DD391C" w:rsidRPr="00E92B58">
          <w:rPr>
            <w:rStyle w:val="Hyperlink"/>
            <w:lang w:val="en-GB" w:eastAsia="zh-CN"/>
          </w:rPr>
          <w:t>A preference for standard pricing</w:t>
        </w:r>
        <w:r w:rsidR="00DD391C">
          <w:rPr>
            <w:webHidden/>
          </w:rPr>
          <w:tab/>
        </w:r>
        <w:r w:rsidR="00DD391C">
          <w:rPr>
            <w:webHidden/>
          </w:rPr>
          <w:fldChar w:fldCharType="begin"/>
        </w:r>
        <w:r w:rsidR="00DD391C">
          <w:rPr>
            <w:webHidden/>
          </w:rPr>
          <w:instrText xml:space="preserve"> PAGEREF _Toc174348969 \h </w:instrText>
        </w:r>
        <w:r w:rsidR="00DD391C">
          <w:rPr>
            <w:webHidden/>
          </w:rPr>
        </w:r>
        <w:r w:rsidR="00DD391C">
          <w:rPr>
            <w:webHidden/>
          </w:rPr>
          <w:fldChar w:fldCharType="separate"/>
        </w:r>
        <w:r w:rsidR="009A4DD8">
          <w:rPr>
            <w:webHidden/>
          </w:rPr>
          <w:t>21</w:t>
        </w:r>
        <w:r w:rsidR="00DD391C">
          <w:rPr>
            <w:webHidden/>
          </w:rPr>
          <w:fldChar w:fldCharType="end"/>
        </w:r>
      </w:hyperlink>
    </w:p>
    <w:p w14:paraId="033F5E46" w14:textId="08115331" w:rsidR="00DD391C" w:rsidRDefault="00993E17">
      <w:pPr>
        <w:pStyle w:val="TOC4"/>
        <w:rPr>
          <w:rFonts w:eastAsiaTheme="minorEastAsia"/>
          <w:kern w:val="2"/>
          <w:sz w:val="24"/>
          <w:szCs w:val="24"/>
          <w:lang w:eastAsia="en-AU"/>
          <w14:ligatures w14:val="standardContextual"/>
        </w:rPr>
      </w:pPr>
      <w:hyperlink w:anchor="_Toc174348970" w:history="1">
        <w:r w:rsidR="00DD391C" w:rsidRPr="00E92B58">
          <w:rPr>
            <w:rStyle w:val="Hyperlink"/>
            <w:lang w:val="en-GB" w:eastAsia="zh-CN"/>
          </w:rPr>
          <w:t>Negotiating framework requirements inadequately met</w:t>
        </w:r>
        <w:r w:rsidR="00DD391C">
          <w:rPr>
            <w:webHidden/>
          </w:rPr>
          <w:tab/>
        </w:r>
        <w:r w:rsidR="00DD391C">
          <w:rPr>
            <w:webHidden/>
          </w:rPr>
          <w:fldChar w:fldCharType="begin"/>
        </w:r>
        <w:r w:rsidR="00DD391C">
          <w:rPr>
            <w:webHidden/>
          </w:rPr>
          <w:instrText xml:space="preserve"> PAGEREF _Toc174348970 \h </w:instrText>
        </w:r>
        <w:r w:rsidR="00DD391C">
          <w:rPr>
            <w:webHidden/>
          </w:rPr>
        </w:r>
        <w:r w:rsidR="00DD391C">
          <w:rPr>
            <w:webHidden/>
          </w:rPr>
          <w:fldChar w:fldCharType="separate"/>
        </w:r>
        <w:r w:rsidR="009A4DD8">
          <w:rPr>
            <w:webHidden/>
          </w:rPr>
          <w:t>22</w:t>
        </w:r>
        <w:r w:rsidR="00DD391C">
          <w:rPr>
            <w:webHidden/>
          </w:rPr>
          <w:fldChar w:fldCharType="end"/>
        </w:r>
      </w:hyperlink>
    </w:p>
    <w:p w14:paraId="31105110" w14:textId="79301076" w:rsidR="00DD391C" w:rsidRDefault="00993E17">
      <w:pPr>
        <w:pStyle w:val="TOC4"/>
        <w:rPr>
          <w:rFonts w:eastAsiaTheme="minorEastAsia"/>
          <w:kern w:val="2"/>
          <w:sz w:val="24"/>
          <w:szCs w:val="24"/>
          <w:lang w:eastAsia="en-AU"/>
          <w14:ligatures w14:val="standardContextual"/>
        </w:rPr>
      </w:pPr>
      <w:hyperlink w:anchor="_Toc174348971" w:history="1">
        <w:r w:rsidR="00DD391C" w:rsidRPr="00E92B58">
          <w:rPr>
            <w:rStyle w:val="Hyperlink"/>
          </w:rPr>
          <w:t>Engagement issues</w:t>
        </w:r>
        <w:r w:rsidR="00DD391C">
          <w:rPr>
            <w:webHidden/>
          </w:rPr>
          <w:tab/>
        </w:r>
        <w:r w:rsidR="00DD391C">
          <w:rPr>
            <w:webHidden/>
          </w:rPr>
          <w:fldChar w:fldCharType="begin"/>
        </w:r>
        <w:r w:rsidR="00DD391C">
          <w:rPr>
            <w:webHidden/>
          </w:rPr>
          <w:instrText xml:space="preserve"> PAGEREF _Toc174348971 \h </w:instrText>
        </w:r>
        <w:r w:rsidR="00DD391C">
          <w:rPr>
            <w:webHidden/>
          </w:rPr>
        </w:r>
        <w:r w:rsidR="00DD391C">
          <w:rPr>
            <w:webHidden/>
          </w:rPr>
          <w:fldChar w:fldCharType="separate"/>
        </w:r>
        <w:r w:rsidR="009A4DD8">
          <w:rPr>
            <w:webHidden/>
          </w:rPr>
          <w:t>23</w:t>
        </w:r>
        <w:r w:rsidR="00DD391C">
          <w:rPr>
            <w:webHidden/>
          </w:rPr>
          <w:fldChar w:fldCharType="end"/>
        </w:r>
      </w:hyperlink>
    </w:p>
    <w:p w14:paraId="5A029E0B" w14:textId="13040696" w:rsidR="00DD391C" w:rsidRDefault="00993E17">
      <w:pPr>
        <w:pStyle w:val="TOC4"/>
        <w:rPr>
          <w:rFonts w:eastAsiaTheme="minorEastAsia"/>
          <w:kern w:val="2"/>
          <w:sz w:val="24"/>
          <w:szCs w:val="24"/>
          <w:lang w:eastAsia="en-AU"/>
          <w14:ligatures w14:val="standardContextual"/>
        </w:rPr>
      </w:pPr>
      <w:hyperlink w:anchor="_Toc174348972" w:history="1">
        <w:r w:rsidR="00DD391C" w:rsidRPr="00E92B58">
          <w:rPr>
            <w:rStyle w:val="Hyperlink"/>
            <w:lang w:val="en-GB" w:eastAsia="zh-CN"/>
          </w:rPr>
          <w:t>Application of an average incremental cost approach</w:t>
        </w:r>
        <w:r w:rsidR="00DD391C">
          <w:rPr>
            <w:webHidden/>
          </w:rPr>
          <w:tab/>
        </w:r>
        <w:r w:rsidR="00DD391C">
          <w:rPr>
            <w:webHidden/>
          </w:rPr>
          <w:fldChar w:fldCharType="begin"/>
        </w:r>
        <w:r w:rsidR="00DD391C">
          <w:rPr>
            <w:webHidden/>
          </w:rPr>
          <w:instrText xml:space="preserve"> PAGEREF _Toc174348972 \h </w:instrText>
        </w:r>
        <w:r w:rsidR="00DD391C">
          <w:rPr>
            <w:webHidden/>
          </w:rPr>
        </w:r>
        <w:r w:rsidR="00DD391C">
          <w:rPr>
            <w:webHidden/>
          </w:rPr>
          <w:fldChar w:fldCharType="separate"/>
        </w:r>
        <w:r w:rsidR="009A4DD8">
          <w:rPr>
            <w:webHidden/>
          </w:rPr>
          <w:t>23</w:t>
        </w:r>
        <w:r w:rsidR="00DD391C">
          <w:rPr>
            <w:webHidden/>
          </w:rPr>
          <w:fldChar w:fldCharType="end"/>
        </w:r>
      </w:hyperlink>
    </w:p>
    <w:p w14:paraId="3175E490" w14:textId="11325FC7" w:rsidR="00DD391C" w:rsidRDefault="00993E17">
      <w:pPr>
        <w:pStyle w:val="TOC4"/>
        <w:rPr>
          <w:rFonts w:eastAsiaTheme="minorEastAsia"/>
          <w:kern w:val="2"/>
          <w:sz w:val="24"/>
          <w:szCs w:val="24"/>
          <w:lang w:eastAsia="en-AU"/>
          <w14:ligatures w14:val="standardContextual"/>
        </w:rPr>
      </w:pPr>
      <w:hyperlink w:anchor="_Toc174348973" w:history="1">
        <w:r w:rsidR="00DD391C" w:rsidRPr="00E92B58">
          <w:rPr>
            <w:rStyle w:val="Hyperlink"/>
          </w:rPr>
          <w:t>Uncertainty around gifted or reticulated assets</w:t>
        </w:r>
        <w:r w:rsidR="00DD391C">
          <w:rPr>
            <w:webHidden/>
          </w:rPr>
          <w:tab/>
        </w:r>
        <w:r w:rsidR="00DD391C">
          <w:rPr>
            <w:webHidden/>
          </w:rPr>
          <w:fldChar w:fldCharType="begin"/>
        </w:r>
        <w:r w:rsidR="00DD391C">
          <w:rPr>
            <w:webHidden/>
          </w:rPr>
          <w:instrText xml:space="preserve"> PAGEREF _Toc174348973 \h </w:instrText>
        </w:r>
        <w:r w:rsidR="00DD391C">
          <w:rPr>
            <w:webHidden/>
          </w:rPr>
        </w:r>
        <w:r w:rsidR="00DD391C">
          <w:rPr>
            <w:webHidden/>
          </w:rPr>
          <w:fldChar w:fldCharType="separate"/>
        </w:r>
        <w:r w:rsidR="009A4DD8">
          <w:rPr>
            <w:webHidden/>
          </w:rPr>
          <w:t>24</w:t>
        </w:r>
        <w:r w:rsidR="00DD391C">
          <w:rPr>
            <w:webHidden/>
          </w:rPr>
          <w:fldChar w:fldCharType="end"/>
        </w:r>
      </w:hyperlink>
    </w:p>
    <w:p w14:paraId="12CE369E" w14:textId="5A3868AE" w:rsidR="00DD391C" w:rsidRDefault="00993E17">
      <w:pPr>
        <w:pStyle w:val="TOC4"/>
        <w:rPr>
          <w:rFonts w:eastAsiaTheme="minorEastAsia"/>
          <w:kern w:val="2"/>
          <w:sz w:val="24"/>
          <w:szCs w:val="24"/>
          <w:lang w:eastAsia="en-AU"/>
          <w14:ligatures w14:val="standardContextual"/>
        </w:rPr>
      </w:pPr>
      <w:hyperlink w:anchor="_Toc174348974" w:history="1">
        <w:r w:rsidR="00DD391C" w:rsidRPr="00E92B58">
          <w:rPr>
            <w:rStyle w:val="Hyperlink"/>
          </w:rPr>
          <w:t>Timing of development and development servicing plans</w:t>
        </w:r>
        <w:r w:rsidR="00DD391C">
          <w:rPr>
            <w:webHidden/>
          </w:rPr>
          <w:tab/>
        </w:r>
        <w:r w:rsidR="00DD391C">
          <w:rPr>
            <w:webHidden/>
          </w:rPr>
          <w:fldChar w:fldCharType="begin"/>
        </w:r>
        <w:r w:rsidR="00DD391C">
          <w:rPr>
            <w:webHidden/>
          </w:rPr>
          <w:instrText xml:space="preserve"> PAGEREF _Toc174348974 \h </w:instrText>
        </w:r>
        <w:r w:rsidR="00DD391C">
          <w:rPr>
            <w:webHidden/>
          </w:rPr>
        </w:r>
        <w:r w:rsidR="00DD391C">
          <w:rPr>
            <w:webHidden/>
          </w:rPr>
          <w:fldChar w:fldCharType="separate"/>
        </w:r>
        <w:r w:rsidR="009A4DD8">
          <w:rPr>
            <w:webHidden/>
          </w:rPr>
          <w:t>25</w:t>
        </w:r>
        <w:r w:rsidR="00DD391C">
          <w:rPr>
            <w:webHidden/>
          </w:rPr>
          <w:fldChar w:fldCharType="end"/>
        </w:r>
      </w:hyperlink>
    </w:p>
    <w:p w14:paraId="0C11F7C2" w14:textId="517870A5" w:rsidR="00DD391C" w:rsidRDefault="00993E17">
      <w:pPr>
        <w:pStyle w:val="TOC4"/>
        <w:rPr>
          <w:rFonts w:eastAsiaTheme="minorEastAsia"/>
          <w:kern w:val="2"/>
          <w:sz w:val="24"/>
          <w:szCs w:val="24"/>
          <w:lang w:eastAsia="en-AU"/>
          <w14:ligatures w14:val="standardContextual"/>
        </w:rPr>
      </w:pPr>
      <w:hyperlink w:anchor="_Toc174348975" w:history="1">
        <w:r w:rsidR="00DD391C" w:rsidRPr="00E92B58">
          <w:rPr>
            <w:rStyle w:val="Hyperlink"/>
          </w:rPr>
          <w:t>Guidance for new customer contributions</w:t>
        </w:r>
        <w:r w:rsidR="00DD391C">
          <w:rPr>
            <w:webHidden/>
          </w:rPr>
          <w:tab/>
        </w:r>
        <w:r w:rsidR="00DD391C">
          <w:rPr>
            <w:webHidden/>
          </w:rPr>
          <w:fldChar w:fldCharType="begin"/>
        </w:r>
        <w:r w:rsidR="00DD391C">
          <w:rPr>
            <w:webHidden/>
          </w:rPr>
          <w:instrText xml:space="preserve"> PAGEREF _Toc174348975 \h </w:instrText>
        </w:r>
        <w:r w:rsidR="00DD391C">
          <w:rPr>
            <w:webHidden/>
          </w:rPr>
        </w:r>
        <w:r w:rsidR="00DD391C">
          <w:rPr>
            <w:webHidden/>
          </w:rPr>
          <w:fldChar w:fldCharType="separate"/>
        </w:r>
        <w:r w:rsidR="009A4DD8">
          <w:rPr>
            <w:webHidden/>
          </w:rPr>
          <w:t>26</w:t>
        </w:r>
        <w:r w:rsidR="00DD391C">
          <w:rPr>
            <w:webHidden/>
          </w:rPr>
          <w:fldChar w:fldCharType="end"/>
        </w:r>
      </w:hyperlink>
    </w:p>
    <w:p w14:paraId="285A9556" w14:textId="7FCEAB36" w:rsidR="00DD391C" w:rsidRDefault="00993E17">
      <w:pPr>
        <w:pStyle w:val="TOC1"/>
        <w:rPr>
          <w:rFonts w:eastAsiaTheme="minorEastAsia"/>
          <w:b w:val="0"/>
          <w:noProof/>
          <w:kern w:val="2"/>
          <w:sz w:val="24"/>
          <w:szCs w:val="24"/>
          <w:lang w:eastAsia="en-AU"/>
          <w14:ligatures w14:val="standardContextual"/>
        </w:rPr>
      </w:pPr>
      <w:hyperlink w:anchor="_Toc174348976" w:history="1">
        <w:r w:rsidR="00DD391C" w:rsidRPr="00E92B58">
          <w:rPr>
            <w:rStyle w:val="Hyperlink"/>
            <w:noProof/>
          </w:rPr>
          <w:t>Appendix A - Technical concepts</w:t>
        </w:r>
        <w:r w:rsidR="00DD391C">
          <w:rPr>
            <w:noProof/>
            <w:webHidden/>
          </w:rPr>
          <w:tab/>
        </w:r>
        <w:r w:rsidR="00DD391C">
          <w:rPr>
            <w:noProof/>
            <w:webHidden/>
          </w:rPr>
          <w:fldChar w:fldCharType="begin"/>
        </w:r>
        <w:r w:rsidR="00DD391C">
          <w:rPr>
            <w:noProof/>
            <w:webHidden/>
          </w:rPr>
          <w:instrText xml:space="preserve"> PAGEREF _Toc174348976 \h </w:instrText>
        </w:r>
        <w:r w:rsidR="00DD391C">
          <w:rPr>
            <w:noProof/>
            <w:webHidden/>
          </w:rPr>
        </w:r>
        <w:r w:rsidR="00DD391C">
          <w:rPr>
            <w:noProof/>
            <w:webHidden/>
          </w:rPr>
          <w:fldChar w:fldCharType="separate"/>
        </w:r>
        <w:r w:rsidR="009A4DD8">
          <w:rPr>
            <w:noProof/>
            <w:webHidden/>
          </w:rPr>
          <w:t>27</w:t>
        </w:r>
        <w:r w:rsidR="00DD391C">
          <w:rPr>
            <w:noProof/>
            <w:webHidden/>
          </w:rPr>
          <w:fldChar w:fldCharType="end"/>
        </w:r>
      </w:hyperlink>
    </w:p>
    <w:p w14:paraId="361FBF23" w14:textId="1392612F" w:rsidR="00DD391C" w:rsidRDefault="00993E17">
      <w:pPr>
        <w:pStyle w:val="TOC3"/>
        <w:tabs>
          <w:tab w:val="left" w:pos="1702"/>
        </w:tabs>
        <w:rPr>
          <w:rFonts w:eastAsiaTheme="minorEastAsia"/>
          <w:kern w:val="2"/>
          <w:sz w:val="24"/>
          <w:szCs w:val="24"/>
          <w:lang w:val="en-AU" w:eastAsia="en-AU"/>
          <w14:ligatures w14:val="standardContextual"/>
        </w:rPr>
      </w:pPr>
      <w:hyperlink w:anchor="_Toc174348977" w:history="1">
        <w:r w:rsidR="00DD391C" w:rsidRPr="00E92B58">
          <w:rPr>
            <w:rStyle w:val="Hyperlink"/>
          </w:rPr>
          <w:t>A.1</w:t>
        </w:r>
        <w:r w:rsidR="00DD391C">
          <w:rPr>
            <w:rFonts w:eastAsiaTheme="minorEastAsia"/>
            <w:kern w:val="2"/>
            <w:sz w:val="24"/>
            <w:szCs w:val="24"/>
            <w:lang w:val="en-AU" w:eastAsia="en-AU"/>
            <w14:ligatures w14:val="standardContextual"/>
          </w:rPr>
          <w:tab/>
        </w:r>
        <w:r w:rsidR="00DD391C" w:rsidRPr="00E92B58">
          <w:rPr>
            <w:rStyle w:val="Hyperlink"/>
          </w:rPr>
          <w:t>Purpose and structure of Appendix A</w:t>
        </w:r>
        <w:r w:rsidR="00DD391C">
          <w:rPr>
            <w:webHidden/>
          </w:rPr>
          <w:tab/>
        </w:r>
        <w:r w:rsidR="00DD391C">
          <w:rPr>
            <w:webHidden/>
          </w:rPr>
          <w:fldChar w:fldCharType="begin"/>
        </w:r>
        <w:r w:rsidR="00DD391C">
          <w:rPr>
            <w:webHidden/>
          </w:rPr>
          <w:instrText xml:space="preserve"> PAGEREF _Toc174348977 \h </w:instrText>
        </w:r>
        <w:r w:rsidR="00DD391C">
          <w:rPr>
            <w:webHidden/>
          </w:rPr>
        </w:r>
        <w:r w:rsidR="00DD391C">
          <w:rPr>
            <w:webHidden/>
          </w:rPr>
          <w:fldChar w:fldCharType="separate"/>
        </w:r>
        <w:r w:rsidR="009A4DD8">
          <w:rPr>
            <w:webHidden/>
          </w:rPr>
          <w:t>27</w:t>
        </w:r>
        <w:r w:rsidR="00DD391C">
          <w:rPr>
            <w:webHidden/>
          </w:rPr>
          <w:fldChar w:fldCharType="end"/>
        </w:r>
      </w:hyperlink>
    </w:p>
    <w:p w14:paraId="7AF472B6" w14:textId="2DAE462A" w:rsidR="00DD391C" w:rsidRDefault="00993E17">
      <w:pPr>
        <w:pStyle w:val="TOC3"/>
        <w:tabs>
          <w:tab w:val="left" w:pos="1702"/>
        </w:tabs>
        <w:rPr>
          <w:rFonts w:eastAsiaTheme="minorEastAsia"/>
          <w:kern w:val="2"/>
          <w:sz w:val="24"/>
          <w:szCs w:val="24"/>
          <w:lang w:val="en-AU" w:eastAsia="en-AU"/>
          <w14:ligatures w14:val="standardContextual"/>
        </w:rPr>
      </w:pPr>
      <w:hyperlink w:anchor="_Toc174348978" w:history="1">
        <w:r w:rsidR="00DD391C" w:rsidRPr="00E92B58">
          <w:rPr>
            <w:rStyle w:val="Hyperlink"/>
          </w:rPr>
          <w:t>A.2</w:t>
        </w:r>
        <w:r w:rsidR="00DD391C">
          <w:rPr>
            <w:rFonts w:eastAsiaTheme="minorEastAsia"/>
            <w:kern w:val="2"/>
            <w:sz w:val="24"/>
            <w:szCs w:val="24"/>
            <w:lang w:val="en-AU" w:eastAsia="en-AU"/>
            <w14:ligatures w14:val="standardContextual"/>
          </w:rPr>
          <w:tab/>
        </w:r>
        <w:r w:rsidR="00DD391C" w:rsidRPr="00E92B58">
          <w:rPr>
            <w:rStyle w:val="Hyperlink"/>
          </w:rPr>
          <w:t>Key functions of new customer contributions regulation</w:t>
        </w:r>
        <w:r w:rsidR="00DD391C">
          <w:rPr>
            <w:webHidden/>
          </w:rPr>
          <w:tab/>
        </w:r>
        <w:r w:rsidR="00DD391C">
          <w:rPr>
            <w:webHidden/>
          </w:rPr>
          <w:fldChar w:fldCharType="begin"/>
        </w:r>
        <w:r w:rsidR="00DD391C">
          <w:rPr>
            <w:webHidden/>
          </w:rPr>
          <w:instrText xml:space="preserve"> PAGEREF _Toc174348978 \h </w:instrText>
        </w:r>
        <w:r w:rsidR="00DD391C">
          <w:rPr>
            <w:webHidden/>
          </w:rPr>
        </w:r>
        <w:r w:rsidR="00DD391C">
          <w:rPr>
            <w:webHidden/>
          </w:rPr>
          <w:fldChar w:fldCharType="separate"/>
        </w:r>
        <w:r w:rsidR="009A4DD8">
          <w:rPr>
            <w:webHidden/>
          </w:rPr>
          <w:t>27</w:t>
        </w:r>
        <w:r w:rsidR="00DD391C">
          <w:rPr>
            <w:webHidden/>
          </w:rPr>
          <w:fldChar w:fldCharType="end"/>
        </w:r>
      </w:hyperlink>
    </w:p>
    <w:p w14:paraId="36579D73" w14:textId="0759D68A" w:rsidR="00DD391C" w:rsidRDefault="00993E17">
      <w:pPr>
        <w:pStyle w:val="TOC3"/>
        <w:tabs>
          <w:tab w:val="left" w:pos="1702"/>
        </w:tabs>
        <w:rPr>
          <w:rFonts w:eastAsiaTheme="minorEastAsia"/>
          <w:kern w:val="2"/>
          <w:sz w:val="24"/>
          <w:szCs w:val="24"/>
          <w:lang w:val="en-AU" w:eastAsia="en-AU"/>
          <w14:ligatures w14:val="standardContextual"/>
        </w:rPr>
      </w:pPr>
      <w:hyperlink w:anchor="_Toc174348981" w:history="1">
        <w:r w:rsidR="00DD391C" w:rsidRPr="00E92B58">
          <w:rPr>
            <w:rStyle w:val="Hyperlink"/>
          </w:rPr>
          <w:t>A.3</w:t>
        </w:r>
        <w:r w:rsidR="00DD391C">
          <w:rPr>
            <w:rFonts w:eastAsiaTheme="minorEastAsia"/>
            <w:kern w:val="2"/>
            <w:sz w:val="24"/>
            <w:szCs w:val="24"/>
            <w:lang w:val="en-AU" w:eastAsia="en-AU"/>
            <w14:ligatures w14:val="standardContextual"/>
          </w:rPr>
          <w:tab/>
        </w:r>
        <w:r w:rsidR="00DD391C" w:rsidRPr="00E92B58">
          <w:rPr>
            <w:rStyle w:val="Hyperlink"/>
          </w:rPr>
          <w:t>Key economic concepts</w:t>
        </w:r>
        <w:r w:rsidR="00DD391C">
          <w:rPr>
            <w:webHidden/>
          </w:rPr>
          <w:tab/>
        </w:r>
        <w:r w:rsidR="00DD391C">
          <w:rPr>
            <w:webHidden/>
          </w:rPr>
          <w:fldChar w:fldCharType="begin"/>
        </w:r>
        <w:r w:rsidR="00DD391C">
          <w:rPr>
            <w:webHidden/>
          </w:rPr>
          <w:instrText xml:space="preserve"> PAGEREF _Toc174348981 \h </w:instrText>
        </w:r>
        <w:r w:rsidR="00DD391C">
          <w:rPr>
            <w:webHidden/>
          </w:rPr>
        </w:r>
        <w:r w:rsidR="00DD391C">
          <w:rPr>
            <w:webHidden/>
          </w:rPr>
          <w:fldChar w:fldCharType="separate"/>
        </w:r>
        <w:r w:rsidR="009A4DD8">
          <w:rPr>
            <w:webHidden/>
          </w:rPr>
          <w:t>30</w:t>
        </w:r>
        <w:r w:rsidR="00DD391C">
          <w:rPr>
            <w:webHidden/>
          </w:rPr>
          <w:fldChar w:fldCharType="end"/>
        </w:r>
      </w:hyperlink>
    </w:p>
    <w:p w14:paraId="66FDCE47" w14:textId="2AA212D5" w:rsidR="00DD391C" w:rsidRDefault="00993E17">
      <w:pPr>
        <w:pStyle w:val="TOC3"/>
        <w:tabs>
          <w:tab w:val="left" w:pos="1702"/>
        </w:tabs>
        <w:rPr>
          <w:rFonts w:eastAsiaTheme="minorEastAsia"/>
          <w:kern w:val="2"/>
          <w:sz w:val="24"/>
          <w:szCs w:val="24"/>
          <w:lang w:val="en-AU" w:eastAsia="en-AU"/>
          <w14:ligatures w14:val="standardContextual"/>
        </w:rPr>
      </w:pPr>
      <w:hyperlink w:anchor="_Toc174348989" w:history="1">
        <w:r w:rsidR="00DD391C" w:rsidRPr="00E92B58">
          <w:rPr>
            <w:rStyle w:val="Hyperlink"/>
          </w:rPr>
          <w:t>A.4</w:t>
        </w:r>
        <w:r w:rsidR="00DD391C">
          <w:rPr>
            <w:rFonts w:eastAsiaTheme="minorEastAsia"/>
            <w:kern w:val="2"/>
            <w:sz w:val="24"/>
            <w:szCs w:val="24"/>
            <w:lang w:val="en-AU" w:eastAsia="en-AU"/>
            <w14:ligatures w14:val="standardContextual"/>
          </w:rPr>
          <w:tab/>
        </w:r>
        <w:r w:rsidR="00DD391C" w:rsidRPr="00E92B58">
          <w:rPr>
            <w:rStyle w:val="Hyperlink"/>
          </w:rPr>
          <w:t>Key trade-offs</w:t>
        </w:r>
        <w:r w:rsidR="00DD391C">
          <w:rPr>
            <w:webHidden/>
          </w:rPr>
          <w:tab/>
        </w:r>
        <w:r w:rsidR="00DD391C">
          <w:rPr>
            <w:webHidden/>
          </w:rPr>
          <w:fldChar w:fldCharType="begin"/>
        </w:r>
        <w:r w:rsidR="00DD391C">
          <w:rPr>
            <w:webHidden/>
          </w:rPr>
          <w:instrText xml:space="preserve"> PAGEREF _Toc174348989 \h </w:instrText>
        </w:r>
        <w:r w:rsidR="00DD391C">
          <w:rPr>
            <w:webHidden/>
          </w:rPr>
        </w:r>
        <w:r w:rsidR="00DD391C">
          <w:rPr>
            <w:webHidden/>
          </w:rPr>
          <w:fldChar w:fldCharType="separate"/>
        </w:r>
        <w:r w:rsidR="009A4DD8">
          <w:rPr>
            <w:webHidden/>
          </w:rPr>
          <w:t>38</w:t>
        </w:r>
        <w:r w:rsidR="00DD391C">
          <w:rPr>
            <w:webHidden/>
          </w:rPr>
          <w:fldChar w:fldCharType="end"/>
        </w:r>
      </w:hyperlink>
    </w:p>
    <w:p w14:paraId="31DF7713" w14:textId="2B244B6B" w:rsidR="00DD391C" w:rsidRDefault="00993E17">
      <w:pPr>
        <w:pStyle w:val="TOC3"/>
        <w:tabs>
          <w:tab w:val="left" w:pos="1702"/>
        </w:tabs>
        <w:rPr>
          <w:rFonts w:eastAsiaTheme="minorEastAsia"/>
          <w:kern w:val="2"/>
          <w:sz w:val="24"/>
          <w:szCs w:val="24"/>
          <w:lang w:val="en-AU" w:eastAsia="en-AU"/>
          <w14:ligatures w14:val="standardContextual"/>
        </w:rPr>
      </w:pPr>
      <w:hyperlink w:anchor="_Toc174348990" w:history="1">
        <w:r w:rsidR="00DD391C" w:rsidRPr="00E92B58">
          <w:rPr>
            <w:rStyle w:val="Hyperlink"/>
          </w:rPr>
          <w:t>A.5.</w:t>
        </w:r>
        <w:r w:rsidR="00DD391C">
          <w:rPr>
            <w:rFonts w:eastAsiaTheme="minorEastAsia"/>
            <w:kern w:val="2"/>
            <w:sz w:val="24"/>
            <w:szCs w:val="24"/>
            <w:lang w:val="en-AU" w:eastAsia="en-AU"/>
            <w14:ligatures w14:val="standardContextual"/>
          </w:rPr>
          <w:tab/>
        </w:r>
        <w:r w:rsidR="00DD391C" w:rsidRPr="00E92B58">
          <w:rPr>
            <w:rStyle w:val="Hyperlink"/>
          </w:rPr>
          <w:t>Victorian water policy context</w:t>
        </w:r>
        <w:r w:rsidR="00DD391C">
          <w:rPr>
            <w:webHidden/>
          </w:rPr>
          <w:tab/>
        </w:r>
        <w:r w:rsidR="00DD391C">
          <w:rPr>
            <w:webHidden/>
          </w:rPr>
          <w:fldChar w:fldCharType="begin"/>
        </w:r>
        <w:r w:rsidR="00DD391C">
          <w:rPr>
            <w:webHidden/>
          </w:rPr>
          <w:instrText xml:space="preserve"> PAGEREF _Toc174348990 \h </w:instrText>
        </w:r>
        <w:r w:rsidR="00DD391C">
          <w:rPr>
            <w:webHidden/>
          </w:rPr>
        </w:r>
        <w:r w:rsidR="00DD391C">
          <w:rPr>
            <w:webHidden/>
          </w:rPr>
          <w:fldChar w:fldCharType="separate"/>
        </w:r>
        <w:r w:rsidR="009A4DD8">
          <w:rPr>
            <w:webHidden/>
          </w:rPr>
          <w:t>38</w:t>
        </w:r>
        <w:r w:rsidR="00DD391C">
          <w:rPr>
            <w:webHidden/>
          </w:rPr>
          <w:fldChar w:fldCharType="end"/>
        </w:r>
      </w:hyperlink>
    </w:p>
    <w:p w14:paraId="66BBB17D" w14:textId="5B8C31C2" w:rsidR="00DD391C" w:rsidRDefault="00993E17">
      <w:pPr>
        <w:pStyle w:val="TOC3"/>
        <w:tabs>
          <w:tab w:val="left" w:pos="1702"/>
        </w:tabs>
        <w:rPr>
          <w:rFonts w:eastAsiaTheme="minorEastAsia"/>
          <w:kern w:val="2"/>
          <w:sz w:val="24"/>
          <w:szCs w:val="24"/>
          <w:lang w:val="en-AU" w:eastAsia="en-AU"/>
          <w14:ligatures w14:val="standardContextual"/>
        </w:rPr>
      </w:pPr>
      <w:hyperlink w:anchor="_Toc174348994" w:history="1">
        <w:r w:rsidR="00DD391C" w:rsidRPr="00E92B58">
          <w:rPr>
            <w:rStyle w:val="Hyperlink"/>
          </w:rPr>
          <w:t>A.6</w:t>
        </w:r>
        <w:r w:rsidR="00DD391C">
          <w:rPr>
            <w:rFonts w:eastAsiaTheme="minorEastAsia"/>
            <w:kern w:val="2"/>
            <w:sz w:val="24"/>
            <w:szCs w:val="24"/>
            <w:lang w:val="en-AU" w:eastAsia="en-AU"/>
            <w14:ligatures w14:val="standardContextual"/>
          </w:rPr>
          <w:tab/>
        </w:r>
        <w:r w:rsidR="00DD391C" w:rsidRPr="00E92B58">
          <w:rPr>
            <w:rStyle w:val="Hyperlink"/>
          </w:rPr>
          <w:t>What discretion do water businesses have?</w:t>
        </w:r>
        <w:r w:rsidR="00DD391C">
          <w:rPr>
            <w:webHidden/>
          </w:rPr>
          <w:tab/>
        </w:r>
        <w:r w:rsidR="00DD391C">
          <w:rPr>
            <w:webHidden/>
          </w:rPr>
          <w:fldChar w:fldCharType="begin"/>
        </w:r>
        <w:r w:rsidR="00DD391C">
          <w:rPr>
            <w:webHidden/>
          </w:rPr>
          <w:instrText xml:space="preserve"> PAGEREF _Toc174348994 \h </w:instrText>
        </w:r>
        <w:r w:rsidR="00DD391C">
          <w:rPr>
            <w:webHidden/>
          </w:rPr>
        </w:r>
        <w:r w:rsidR="00DD391C">
          <w:rPr>
            <w:webHidden/>
          </w:rPr>
          <w:fldChar w:fldCharType="separate"/>
        </w:r>
        <w:r w:rsidR="009A4DD8">
          <w:rPr>
            <w:webHidden/>
          </w:rPr>
          <w:t>40</w:t>
        </w:r>
        <w:r w:rsidR="00DD391C">
          <w:rPr>
            <w:webHidden/>
          </w:rPr>
          <w:fldChar w:fldCharType="end"/>
        </w:r>
      </w:hyperlink>
    </w:p>
    <w:p w14:paraId="33C677DD" w14:textId="7316DC1F" w:rsidR="00D3670C" w:rsidRDefault="00782E55" w:rsidP="00D3670C">
      <w:r>
        <w:rPr>
          <w:color w:val="236192" w:themeColor="accent1"/>
        </w:rPr>
        <w:fldChar w:fldCharType="end"/>
      </w:r>
    </w:p>
    <w:p w14:paraId="5FF13765" w14:textId="77777777" w:rsidR="003A30F3" w:rsidRDefault="003A30F3" w:rsidP="003A30F3"/>
    <w:p w14:paraId="43E6FCED" w14:textId="77777777" w:rsidR="003A30F3" w:rsidRPr="003A30F3" w:rsidRDefault="003A30F3" w:rsidP="003A30F3">
      <w:pPr>
        <w:sectPr w:rsidR="003A30F3" w:rsidRPr="003A30F3" w:rsidSect="005B0C7E">
          <w:footerReference w:type="default" r:id="rId20"/>
          <w:type w:val="continuous"/>
          <w:pgSz w:w="11906" w:h="16838" w:code="9"/>
          <w:pgMar w:top="1134" w:right="1558" w:bottom="1134" w:left="1134" w:header="709" w:footer="692" w:gutter="0"/>
          <w:pgNumType w:fmt="lowerRoman"/>
          <w:cols w:space="708"/>
          <w:docGrid w:linePitch="360"/>
        </w:sectPr>
      </w:pPr>
    </w:p>
    <w:p w14:paraId="74128C4D" w14:textId="520DD4CF" w:rsidR="00B62A96" w:rsidRPr="00E50FE2" w:rsidRDefault="009D7543" w:rsidP="00191788">
      <w:pPr>
        <w:pStyle w:val="Heading1numbered"/>
        <w:ind w:hanging="1080"/>
        <w:rPr>
          <w:color w:val="D50032" w:themeColor="accent6"/>
        </w:rPr>
      </w:pPr>
      <w:bookmarkStart w:id="13" w:name="_Toc174348945"/>
      <w:r w:rsidRPr="00E50FE2">
        <w:rPr>
          <w:color w:val="D50032" w:themeColor="accent6"/>
        </w:rPr>
        <w:lastRenderedPageBreak/>
        <w:t>Overview</w:t>
      </w:r>
      <w:bookmarkEnd w:id="13"/>
    </w:p>
    <w:p w14:paraId="1944BD70" w14:textId="22285A62" w:rsidR="00F4227F" w:rsidRDefault="00BE6F49" w:rsidP="00C41E5F">
      <w:pPr>
        <w:rPr>
          <w:lang w:val="en-GB" w:eastAsia="zh-CN"/>
        </w:rPr>
      </w:pPr>
      <w:r>
        <w:rPr>
          <w:lang w:val="en-GB" w:eastAsia="zh-CN"/>
        </w:rPr>
        <w:t xml:space="preserve">The Essential Services Commission (commission) has commenced a review of </w:t>
      </w:r>
      <w:r w:rsidR="002E26ED">
        <w:rPr>
          <w:lang w:val="en-GB" w:eastAsia="zh-CN"/>
        </w:rPr>
        <w:t>new</w:t>
      </w:r>
      <w:r w:rsidR="000B579D">
        <w:rPr>
          <w:lang w:val="en-GB" w:eastAsia="zh-CN"/>
        </w:rPr>
        <w:t xml:space="preserve"> customer contributions</w:t>
      </w:r>
      <w:r w:rsidR="003B5B07">
        <w:rPr>
          <w:lang w:val="en-GB" w:eastAsia="zh-CN"/>
        </w:rPr>
        <w:t xml:space="preserve"> </w:t>
      </w:r>
      <w:r w:rsidR="00D006B1">
        <w:rPr>
          <w:lang w:val="en-GB" w:eastAsia="zh-CN"/>
        </w:rPr>
        <w:t xml:space="preserve">(NCC) </w:t>
      </w:r>
      <w:r w:rsidR="003B5B07">
        <w:rPr>
          <w:lang w:val="en-GB" w:eastAsia="zh-CN"/>
        </w:rPr>
        <w:t>in Victoria’s water sector</w:t>
      </w:r>
      <w:r w:rsidR="0021112A" w:rsidRPr="00FD2EAD">
        <w:rPr>
          <w:lang w:val="en-GB" w:eastAsia="zh-CN"/>
        </w:rPr>
        <w:t>.</w:t>
      </w:r>
      <w:r w:rsidR="003B5B07">
        <w:rPr>
          <w:lang w:val="en-GB" w:eastAsia="zh-CN"/>
        </w:rPr>
        <w:t xml:space="preserve"> </w:t>
      </w:r>
    </w:p>
    <w:p w14:paraId="7C5ED59D" w14:textId="1827EA20" w:rsidR="00A64889" w:rsidRDefault="00D35DA6" w:rsidP="00A64889">
      <w:pPr>
        <w:rPr>
          <w:lang w:val="en-GB" w:eastAsia="zh-CN"/>
        </w:rPr>
      </w:pPr>
      <w:r>
        <w:rPr>
          <w:lang w:val="en-GB" w:eastAsia="zh-CN"/>
        </w:rPr>
        <w:t>Since 2013 t</w:t>
      </w:r>
      <w:r w:rsidR="006B7F9C">
        <w:rPr>
          <w:lang w:val="en-GB" w:eastAsia="zh-CN"/>
        </w:rPr>
        <w:t xml:space="preserve">he </w:t>
      </w:r>
      <w:r w:rsidR="00615FAF">
        <w:rPr>
          <w:lang w:val="en-GB" w:eastAsia="zh-CN"/>
        </w:rPr>
        <w:t>commission</w:t>
      </w:r>
      <w:r>
        <w:rPr>
          <w:lang w:val="en-GB" w:eastAsia="zh-CN"/>
        </w:rPr>
        <w:t xml:space="preserve"> has </w:t>
      </w:r>
      <w:r w:rsidR="00C64D69">
        <w:rPr>
          <w:lang w:val="en-GB" w:eastAsia="zh-CN"/>
        </w:rPr>
        <w:t>applied a</w:t>
      </w:r>
      <w:r w:rsidR="001A79FC">
        <w:rPr>
          <w:lang w:val="en-GB" w:eastAsia="zh-CN"/>
        </w:rPr>
        <w:t xml:space="preserve"> </w:t>
      </w:r>
      <w:r w:rsidR="00615FAF">
        <w:rPr>
          <w:lang w:val="en-GB" w:eastAsia="zh-CN"/>
        </w:rPr>
        <w:t>principles</w:t>
      </w:r>
      <w:r w:rsidR="00C64D69">
        <w:rPr>
          <w:lang w:val="en-GB" w:eastAsia="zh-CN"/>
        </w:rPr>
        <w:t>-</w:t>
      </w:r>
      <w:r w:rsidR="00615FAF">
        <w:rPr>
          <w:lang w:val="en-GB" w:eastAsia="zh-CN"/>
        </w:rPr>
        <w:t xml:space="preserve">based NCC framework </w:t>
      </w:r>
      <w:r w:rsidR="00C64D69">
        <w:rPr>
          <w:lang w:val="en-GB" w:eastAsia="zh-CN"/>
        </w:rPr>
        <w:t>which</w:t>
      </w:r>
      <w:r w:rsidR="002577B2">
        <w:rPr>
          <w:lang w:val="en-GB" w:eastAsia="zh-CN"/>
        </w:rPr>
        <w:t xml:space="preserve"> </w:t>
      </w:r>
      <w:r w:rsidR="00A64889">
        <w:rPr>
          <w:lang w:val="en-GB" w:eastAsia="zh-CN"/>
        </w:rPr>
        <w:t>aims to:</w:t>
      </w:r>
      <w:r w:rsidR="00A64889">
        <w:rPr>
          <w:rStyle w:val="FootnoteReference"/>
        </w:rPr>
        <w:footnoteReference w:id="2"/>
      </w:r>
    </w:p>
    <w:p w14:paraId="5D35D85A" w14:textId="77777777" w:rsidR="00A64889" w:rsidRDefault="00A64889" w:rsidP="000A7423">
      <w:pPr>
        <w:pStyle w:val="ListBullet"/>
      </w:pPr>
      <w:r w:rsidRPr="00F313EF">
        <w:t>send signals to developers about the costs of developing in different locations</w:t>
      </w:r>
    </w:p>
    <w:p w14:paraId="75B9D952" w14:textId="77777777" w:rsidR="00A64889" w:rsidRDefault="00A64889" w:rsidP="000A7423">
      <w:pPr>
        <w:pStyle w:val="ListBullet"/>
      </w:pPr>
      <w:r w:rsidRPr="00F313EF">
        <w:t>share the costs and benefits of growth between new and existing customers</w:t>
      </w:r>
    </w:p>
    <w:p w14:paraId="75D31CD1" w14:textId="77777777" w:rsidR="00A64889" w:rsidRPr="00F313EF" w:rsidRDefault="00A64889" w:rsidP="000A7423">
      <w:pPr>
        <w:pStyle w:val="ListBullet"/>
        <w:rPr>
          <w:b/>
          <w:bCs/>
        </w:rPr>
      </w:pPr>
      <w:r w:rsidRPr="00F313EF">
        <w:t>administer new customer contributions in a transparent way.</w:t>
      </w:r>
    </w:p>
    <w:p w14:paraId="44CD5907" w14:textId="77777777" w:rsidR="000F2920" w:rsidRDefault="00A64889" w:rsidP="00A64889">
      <w:pPr>
        <w:rPr>
          <w:lang w:val="en-GB" w:eastAsia="zh-CN"/>
        </w:rPr>
      </w:pPr>
      <w:r>
        <w:rPr>
          <w:lang w:val="en-GB" w:eastAsia="zh-CN"/>
        </w:rPr>
        <w:t>We consider these objectives remain sound</w:t>
      </w:r>
      <w:r w:rsidR="00F92065">
        <w:rPr>
          <w:lang w:val="en-GB" w:eastAsia="zh-CN"/>
        </w:rPr>
        <w:t>, and subject to stakeholder feedback, do not propose to revisit these as part of our review</w:t>
      </w:r>
      <w:r>
        <w:rPr>
          <w:lang w:val="en-GB" w:eastAsia="zh-CN"/>
        </w:rPr>
        <w:t xml:space="preserve">. </w:t>
      </w:r>
    </w:p>
    <w:p w14:paraId="3DE5087A" w14:textId="77777777" w:rsidR="009D00B9" w:rsidRDefault="00A64889" w:rsidP="00A64889">
      <w:pPr>
        <w:rPr>
          <w:lang w:val="en-GB" w:eastAsia="zh-CN"/>
        </w:rPr>
      </w:pPr>
      <w:r>
        <w:rPr>
          <w:lang w:val="en-GB" w:eastAsia="zh-CN"/>
        </w:rPr>
        <w:t xml:space="preserve">Our review </w:t>
      </w:r>
      <w:r w:rsidR="009D00B9">
        <w:rPr>
          <w:lang w:val="en-GB" w:eastAsia="zh-CN"/>
        </w:rPr>
        <w:t>aims</w:t>
      </w:r>
      <w:r>
        <w:rPr>
          <w:lang w:val="en-GB" w:eastAsia="zh-CN"/>
        </w:rPr>
        <w:t xml:space="preserve"> to address implementation issues that arose during the 2023 price review</w:t>
      </w:r>
      <w:r w:rsidR="00EE6910">
        <w:rPr>
          <w:lang w:val="en-GB" w:eastAsia="zh-CN"/>
        </w:rPr>
        <w:t xml:space="preserve"> to better support the achievement of these objectives</w:t>
      </w:r>
      <w:r>
        <w:rPr>
          <w:lang w:val="en-GB" w:eastAsia="zh-CN"/>
        </w:rPr>
        <w:t>.</w:t>
      </w:r>
      <w:r w:rsidR="00F96739">
        <w:rPr>
          <w:lang w:val="en-GB" w:eastAsia="zh-CN"/>
        </w:rPr>
        <w:t xml:space="preserve"> </w:t>
      </w:r>
    </w:p>
    <w:p w14:paraId="4EFC9A0E" w14:textId="745384A2" w:rsidR="00081F61" w:rsidRDefault="00D17ECB" w:rsidP="00A64889">
      <w:pPr>
        <w:rPr>
          <w:lang w:val="en-GB" w:eastAsia="zh-CN"/>
        </w:rPr>
      </w:pPr>
      <w:r>
        <w:rPr>
          <w:lang w:val="en-GB" w:eastAsia="zh-CN"/>
        </w:rPr>
        <w:t>During the 2023 price review, w</w:t>
      </w:r>
      <w:r w:rsidR="008A1DF4">
        <w:rPr>
          <w:lang w:val="en-GB" w:eastAsia="zh-CN"/>
        </w:rPr>
        <w:t xml:space="preserve">e found the price submissions of some </w:t>
      </w:r>
      <w:r w:rsidR="002626A8">
        <w:rPr>
          <w:lang w:val="en-GB" w:eastAsia="zh-CN"/>
        </w:rPr>
        <w:t xml:space="preserve">water </w:t>
      </w:r>
      <w:r w:rsidR="008A1DF4">
        <w:rPr>
          <w:lang w:val="en-GB" w:eastAsia="zh-CN"/>
        </w:rPr>
        <w:t>businesses did not sufficiently justify th</w:t>
      </w:r>
      <w:r w:rsidR="00DC59A4">
        <w:rPr>
          <w:lang w:val="en-GB" w:eastAsia="zh-CN"/>
        </w:rPr>
        <w:t>e costs allocated to NCC</w:t>
      </w:r>
      <w:r w:rsidR="006A685B">
        <w:rPr>
          <w:lang w:val="en-GB" w:eastAsia="zh-CN"/>
        </w:rPr>
        <w:t xml:space="preserve">, while many appeared to favour </w:t>
      </w:r>
      <w:r w:rsidR="009E7230">
        <w:rPr>
          <w:lang w:val="en-GB" w:eastAsia="zh-CN"/>
        </w:rPr>
        <w:t>common pricing</w:t>
      </w:r>
      <w:r w:rsidR="006A685B">
        <w:rPr>
          <w:lang w:val="en-GB" w:eastAsia="zh-CN"/>
        </w:rPr>
        <w:t xml:space="preserve"> </w:t>
      </w:r>
      <w:r w:rsidR="002D5D3C">
        <w:rPr>
          <w:lang w:val="en-GB" w:eastAsia="zh-CN"/>
        </w:rPr>
        <w:t xml:space="preserve">arrangements </w:t>
      </w:r>
      <w:r w:rsidR="006A685B">
        <w:rPr>
          <w:lang w:val="en-GB" w:eastAsia="zh-CN"/>
        </w:rPr>
        <w:t>even where costs diffe</w:t>
      </w:r>
      <w:r w:rsidR="00644CC5">
        <w:rPr>
          <w:lang w:val="en-GB" w:eastAsia="zh-CN"/>
        </w:rPr>
        <w:t>r</w:t>
      </w:r>
      <w:r w:rsidR="005E39CA">
        <w:rPr>
          <w:lang w:val="en-GB" w:eastAsia="zh-CN"/>
        </w:rPr>
        <w:t>ed</w:t>
      </w:r>
      <w:r w:rsidR="00644CC5">
        <w:rPr>
          <w:lang w:val="en-GB" w:eastAsia="zh-CN"/>
        </w:rPr>
        <w:t xml:space="preserve"> significantly across different areas or locations</w:t>
      </w:r>
      <w:r w:rsidR="009E7230">
        <w:rPr>
          <w:lang w:val="en-GB" w:eastAsia="zh-CN"/>
        </w:rPr>
        <w:t>.</w:t>
      </w:r>
      <w:r w:rsidR="009C2CC2">
        <w:rPr>
          <w:lang w:val="en-GB" w:eastAsia="zh-CN"/>
        </w:rPr>
        <w:t xml:space="preserve"> Other matters are explored further in the paper (</w:t>
      </w:r>
      <w:r w:rsidR="00042410">
        <w:rPr>
          <w:lang w:val="en-GB" w:eastAsia="zh-CN"/>
        </w:rPr>
        <w:t xml:space="preserve">a summary is provided below with detail in </w:t>
      </w:r>
      <w:r w:rsidR="009C2CC2">
        <w:rPr>
          <w:lang w:val="en-GB" w:eastAsia="zh-CN"/>
        </w:rPr>
        <w:t>Chapter 5).</w:t>
      </w:r>
    </w:p>
    <w:p w14:paraId="782C936B" w14:textId="30EB023A" w:rsidR="000A5CCF" w:rsidRDefault="0078489F" w:rsidP="00A64889">
      <w:pPr>
        <w:rPr>
          <w:lang w:val="en-GB" w:eastAsia="zh-CN"/>
        </w:rPr>
      </w:pPr>
      <w:r>
        <w:rPr>
          <w:lang w:val="en-GB" w:eastAsia="zh-CN"/>
        </w:rPr>
        <w:t xml:space="preserve">Clarification of the </w:t>
      </w:r>
      <w:r w:rsidR="00435FD5">
        <w:rPr>
          <w:lang w:val="en-GB" w:eastAsia="zh-CN"/>
        </w:rPr>
        <w:t xml:space="preserve">NCC </w:t>
      </w:r>
      <w:r>
        <w:rPr>
          <w:lang w:val="en-GB" w:eastAsia="zh-CN"/>
        </w:rPr>
        <w:t xml:space="preserve">framework we apply may be needed in these areas, given the </w:t>
      </w:r>
      <w:r w:rsidR="00A42A1F">
        <w:t xml:space="preserve">departures from our expectations for </w:t>
      </w:r>
      <w:r w:rsidR="00337F95">
        <w:t xml:space="preserve">NCC and their </w:t>
      </w:r>
      <w:r w:rsidR="00A42A1F">
        <w:t>justification</w:t>
      </w:r>
      <w:r w:rsidR="008D274D">
        <w:t>.</w:t>
      </w:r>
      <w:r w:rsidR="00365F14">
        <w:rPr>
          <w:lang w:val="en-GB" w:eastAsia="zh-CN"/>
        </w:rPr>
        <w:t xml:space="preserve"> </w:t>
      </w:r>
      <w:r w:rsidR="00B57724" w:rsidRPr="00D61433">
        <w:rPr>
          <w:lang w:val="en-GB" w:eastAsia="zh-CN"/>
        </w:rPr>
        <w:t xml:space="preserve">Accordingly, </w:t>
      </w:r>
      <w:r w:rsidR="00D61433">
        <w:rPr>
          <w:lang w:val="en-GB" w:eastAsia="zh-CN"/>
        </w:rPr>
        <w:t xml:space="preserve">the review will inform the </w:t>
      </w:r>
      <w:r w:rsidR="0090608B">
        <w:rPr>
          <w:lang w:val="en-GB" w:eastAsia="zh-CN"/>
        </w:rPr>
        <w:t xml:space="preserve">NCC </w:t>
      </w:r>
      <w:r w:rsidR="00733541" w:rsidRPr="00D61433">
        <w:rPr>
          <w:lang w:val="en-GB" w:eastAsia="zh-CN"/>
        </w:rPr>
        <w:t xml:space="preserve">guidance we issue </w:t>
      </w:r>
      <w:r w:rsidR="007C450C">
        <w:rPr>
          <w:lang w:val="en-GB" w:eastAsia="zh-CN"/>
        </w:rPr>
        <w:t xml:space="preserve">for </w:t>
      </w:r>
      <w:r w:rsidR="00D61433">
        <w:rPr>
          <w:lang w:val="en-GB" w:eastAsia="zh-CN"/>
        </w:rPr>
        <w:t>the 2028 water price review</w:t>
      </w:r>
      <w:r w:rsidR="008D274D">
        <w:rPr>
          <w:lang w:val="en-GB" w:eastAsia="zh-CN"/>
        </w:rPr>
        <w:t>. Th</w:t>
      </w:r>
      <w:r w:rsidR="00A9369D">
        <w:rPr>
          <w:lang w:val="en-GB" w:eastAsia="zh-CN"/>
        </w:rPr>
        <w:t>e</w:t>
      </w:r>
      <w:r w:rsidR="008D274D">
        <w:rPr>
          <w:lang w:val="en-GB" w:eastAsia="zh-CN"/>
        </w:rPr>
        <w:t xml:space="preserve"> guidance </w:t>
      </w:r>
      <w:r w:rsidR="007009D4">
        <w:rPr>
          <w:lang w:val="en-GB" w:eastAsia="zh-CN"/>
        </w:rPr>
        <w:t xml:space="preserve">will set out </w:t>
      </w:r>
      <w:r w:rsidR="0099660F">
        <w:rPr>
          <w:lang w:val="en-GB" w:eastAsia="zh-CN"/>
        </w:rPr>
        <w:t>our</w:t>
      </w:r>
      <w:r w:rsidR="00944F9C">
        <w:rPr>
          <w:lang w:val="en-GB" w:eastAsia="zh-CN"/>
        </w:rPr>
        <w:t xml:space="preserve"> assessment</w:t>
      </w:r>
      <w:r w:rsidR="00F15F8C">
        <w:rPr>
          <w:lang w:val="en-GB" w:eastAsia="zh-CN"/>
        </w:rPr>
        <w:t xml:space="preserve"> </w:t>
      </w:r>
      <w:r w:rsidR="00FD091F">
        <w:rPr>
          <w:lang w:val="en-GB" w:eastAsia="zh-CN"/>
        </w:rPr>
        <w:t xml:space="preserve">framework and expectations for </w:t>
      </w:r>
      <w:r w:rsidR="00884123">
        <w:rPr>
          <w:lang w:val="en-GB" w:eastAsia="zh-CN"/>
        </w:rPr>
        <w:t xml:space="preserve">the justification of </w:t>
      </w:r>
      <w:r w:rsidR="007C450C">
        <w:rPr>
          <w:lang w:val="en-GB" w:eastAsia="zh-CN"/>
        </w:rPr>
        <w:t>NCC</w:t>
      </w:r>
      <w:r w:rsidR="00D35589">
        <w:rPr>
          <w:lang w:val="en-GB" w:eastAsia="zh-CN"/>
        </w:rPr>
        <w:t>s</w:t>
      </w:r>
      <w:r w:rsidR="00E32B90">
        <w:rPr>
          <w:lang w:val="en-GB" w:eastAsia="zh-CN"/>
        </w:rPr>
        <w:t xml:space="preserve"> by water businesses</w:t>
      </w:r>
      <w:r w:rsidR="00FD091F">
        <w:rPr>
          <w:lang w:val="en-GB" w:eastAsia="zh-CN"/>
        </w:rPr>
        <w:t>.</w:t>
      </w:r>
      <w:r w:rsidR="001E02E3">
        <w:rPr>
          <w:lang w:val="en-GB" w:eastAsia="zh-CN"/>
        </w:rPr>
        <w:t xml:space="preserve"> </w:t>
      </w:r>
    </w:p>
    <w:p w14:paraId="058EC9B4" w14:textId="197C3F97" w:rsidR="00D744BA" w:rsidRDefault="005A18EA" w:rsidP="00A64889">
      <w:pPr>
        <w:rPr>
          <w:lang w:val="en-GB" w:eastAsia="zh-CN"/>
        </w:rPr>
      </w:pPr>
      <w:r>
        <w:rPr>
          <w:lang w:val="en-GB" w:eastAsia="zh-CN"/>
        </w:rPr>
        <w:t>W</w:t>
      </w:r>
      <w:r w:rsidR="00D744BA">
        <w:rPr>
          <w:lang w:val="en-GB" w:eastAsia="zh-CN"/>
        </w:rPr>
        <w:t xml:space="preserve">e are seeking feedback on the </w:t>
      </w:r>
      <w:r w:rsidR="002665C4">
        <w:rPr>
          <w:lang w:val="en-GB" w:eastAsia="zh-CN"/>
        </w:rPr>
        <w:t xml:space="preserve">implementation </w:t>
      </w:r>
      <w:r w:rsidR="00D744BA">
        <w:rPr>
          <w:lang w:val="en-GB" w:eastAsia="zh-CN"/>
        </w:rPr>
        <w:t xml:space="preserve">issues we have identified </w:t>
      </w:r>
      <w:r w:rsidR="007A7FC0">
        <w:rPr>
          <w:lang w:val="en-GB" w:eastAsia="zh-CN"/>
        </w:rPr>
        <w:t xml:space="preserve">and </w:t>
      </w:r>
      <w:r w:rsidR="006621D1">
        <w:rPr>
          <w:lang w:val="en-GB" w:eastAsia="zh-CN"/>
        </w:rPr>
        <w:t xml:space="preserve">how these might be addressed by the commission. </w:t>
      </w:r>
      <w:r w:rsidR="001845B5">
        <w:rPr>
          <w:lang w:val="en-GB" w:eastAsia="zh-CN"/>
        </w:rPr>
        <w:t>We are</w:t>
      </w:r>
      <w:r w:rsidR="00EA56AB">
        <w:rPr>
          <w:lang w:val="en-GB" w:eastAsia="zh-CN"/>
        </w:rPr>
        <w:t xml:space="preserve"> interested in views on the need for additional guidance or prescription</w:t>
      </w:r>
      <w:r w:rsidR="0098085E">
        <w:rPr>
          <w:lang w:val="en-GB" w:eastAsia="zh-CN"/>
        </w:rPr>
        <w:t xml:space="preserve"> </w:t>
      </w:r>
      <w:r w:rsidR="002A2FBF">
        <w:rPr>
          <w:lang w:val="en-GB" w:eastAsia="zh-CN"/>
        </w:rPr>
        <w:t xml:space="preserve">that </w:t>
      </w:r>
      <w:r w:rsidR="008D53EF">
        <w:rPr>
          <w:lang w:val="en-GB" w:eastAsia="zh-CN"/>
        </w:rPr>
        <w:t xml:space="preserve">we </w:t>
      </w:r>
      <w:r w:rsidR="0098085E">
        <w:rPr>
          <w:lang w:val="en-GB" w:eastAsia="zh-CN"/>
        </w:rPr>
        <w:t>could provide</w:t>
      </w:r>
      <w:r w:rsidR="002878BE">
        <w:rPr>
          <w:lang w:val="en-GB" w:eastAsia="zh-CN"/>
        </w:rPr>
        <w:t xml:space="preserve"> to </w:t>
      </w:r>
      <w:r w:rsidR="002A2FBF">
        <w:rPr>
          <w:lang w:val="en-GB" w:eastAsia="zh-CN"/>
        </w:rPr>
        <w:t xml:space="preserve">better </w:t>
      </w:r>
      <w:r w:rsidR="002878BE">
        <w:rPr>
          <w:lang w:val="en-GB" w:eastAsia="zh-CN"/>
        </w:rPr>
        <w:t xml:space="preserve">support compliant submissions and </w:t>
      </w:r>
      <w:r w:rsidR="002A2FBF">
        <w:rPr>
          <w:lang w:val="en-GB" w:eastAsia="zh-CN"/>
        </w:rPr>
        <w:t xml:space="preserve">achievement of the </w:t>
      </w:r>
      <w:r w:rsidR="002878BE">
        <w:rPr>
          <w:lang w:val="en-GB" w:eastAsia="zh-CN"/>
        </w:rPr>
        <w:t xml:space="preserve">objectives </w:t>
      </w:r>
      <w:r w:rsidR="002A2FBF">
        <w:rPr>
          <w:lang w:val="en-GB" w:eastAsia="zh-CN"/>
        </w:rPr>
        <w:t xml:space="preserve">noted </w:t>
      </w:r>
      <w:r w:rsidR="002878BE">
        <w:rPr>
          <w:lang w:val="en-GB" w:eastAsia="zh-CN"/>
        </w:rPr>
        <w:t xml:space="preserve">above. </w:t>
      </w:r>
      <w:r w:rsidR="00524F2A">
        <w:rPr>
          <w:lang w:val="en-GB" w:eastAsia="zh-CN"/>
        </w:rPr>
        <w:t xml:space="preserve">There may be other matters stakeholders identify. </w:t>
      </w:r>
    </w:p>
    <w:p w14:paraId="5BCE71F8" w14:textId="6355FB68" w:rsidR="00FB26E0" w:rsidRDefault="00FB26E0" w:rsidP="00FB26E0">
      <w:r w:rsidRPr="00FD2EAD">
        <w:t>Th</w:t>
      </w:r>
      <w:r>
        <w:t>e</w:t>
      </w:r>
      <w:r w:rsidRPr="00FD2EAD">
        <w:t xml:space="preserve"> review cover</w:t>
      </w:r>
      <w:r w:rsidR="006D7A6F">
        <w:t>s</w:t>
      </w:r>
      <w:r w:rsidRPr="00FD2EAD">
        <w:t xml:space="preserve"> </w:t>
      </w:r>
      <w:r w:rsidR="007C450C">
        <w:rPr>
          <w:lang w:val="en-GB" w:eastAsia="zh-CN"/>
        </w:rPr>
        <w:t>NCC</w:t>
      </w:r>
      <w:r w:rsidR="00D35589">
        <w:rPr>
          <w:lang w:val="en-GB" w:eastAsia="zh-CN"/>
        </w:rPr>
        <w:t>s</w:t>
      </w:r>
      <w:r w:rsidRPr="00FD2EAD">
        <w:t xml:space="preserve"> levied by regional urban water authorities</w:t>
      </w:r>
      <w:r>
        <w:rPr>
          <w:rStyle w:val="FootnoteReference"/>
        </w:rPr>
        <w:footnoteReference w:id="3"/>
      </w:r>
      <w:r>
        <w:t xml:space="preserve"> and metropolitan water corporations</w:t>
      </w:r>
      <w:r>
        <w:rPr>
          <w:rStyle w:val="FootnoteReference"/>
        </w:rPr>
        <w:footnoteReference w:id="4"/>
      </w:r>
      <w:r>
        <w:t xml:space="preserve"> </w:t>
      </w:r>
      <w:r w:rsidR="009E66CF">
        <w:t xml:space="preserve">(referred to as ‘water businesses’) </w:t>
      </w:r>
      <w:r>
        <w:t xml:space="preserve">for new connections to their water, sewerage, or </w:t>
      </w:r>
      <w:r>
        <w:lastRenderedPageBreak/>
        <w:t>recycled water networks</w:t>
      </w:r>
      <w:r w:rsidR="009E66CF">
        <w:t>.</w:t>
      </w:r>
      <w:r>
        <w:t xml:space="preserve"> </w:t>
      </w:r>
      <w:r w:rsidRPr="001A7D31">
        <w:t xml:space="preserve">The review does not </w:t>
      </w:r>
      <w:r w:rsidR="00CA399D">
        <w:t>cover</w:t>
      </w:r>
      <w:r w:rsidR="00CA399D" w:rsidRPr="001A7D31">
        <w:t xml:space="preserve"> </w:t>
      </w:r>
      <w:r w:rsidRPr="001A7D31">
        <w:t>Melbourne Water</w:t>
      </w:r>
      <w:r w:rsidR="007C04D2">
        <w:t xml:space="preserve"> </w:t>
      </w:r>
      <w:r w:rsidR="0084174F" w:rsidRPr="001A7D31">
        <w:t xml:space="preserve">as </w:t>
      </w:r>
      <w:r w:rsidR="007C04D2">
        <w:t xml:space="preserve">we </w:t>
      </w:r>
      <w:r w:rsidR="006501FB">
        <w:t xml:space="preserve">assess </w:t>
      </w:r>
      <w:r w:rsidR="007C04D2">
        <w:t xml:space="preserve">their </w:t>
      </w:r>
      <w:r w:rsidR="009242BC">
        <w:t>NCC</w:t>
      </w:r>
      <w:r w:rsidR="000745A8">
        <w:t>s</w:t>
      </w:r>
      <w:r w:rsidR="007C04D2">
        <w:t xml:space="preserve"> </w:t>
      </w:r>
      <w:r w:rsidR="00966901">
        <w:t xml:space="preserve">under different </w:t>
      </w:r>
      <w:r w:rsidR="00AA6A78">
        <w:t xml:space="preserve">principles. We will </w:t>
      </w:r>
      <w:r w:rsidR="00537386">
        <w:t xml:space="preserve">consider </w:t>
      </w:r>
      <w:r w:rsidR="00AA6A78">
        <w:t xml:space="preserve">Melbourne Water’s </w:t>
      </w:r>
      <w:r w:rsidR="009242BC">
        <w:t>NCC</w:t>
      </w:r>
      <w:r w:rsidR="000745A8">
        <w:t>s</w:t>
      </w:r>
      <w:r w:rsidR="00AA6A78">
        <w:t xml:space="preserve"> at their 2026 price review</w:t>
      </w:r>
      <w:r w:rsidRPr="003E2CED">
        <w:t>.</w:t>
      </w:r>
    </w:p>
    <w:p w14:paraId="53FA8E89" w14:textId="6ADDEA44" w:rsidR="00F97EAE" w:rsidRDefault="00F97EAE" w:rsidP="00FB26E0">
      <w:r>
        <w:rPr>
          <w:lang w:val="en-GB" w:eastAsia="zh-CN"/>
        </w:rPr>
        <w:t xml:space="preserve">We recognise the many interests in </w:t>
      </w:r>
      <w:r w:rsidR="009242BC">
        <w:rPr>
          <w:lang w:val="en-GB" w:eastAsia="zh-CN"/>
        </w:rPr>
        <w:t>NCC</w:t>
      </w:r>
      <w:r w:rsidR="000745A8">
        <w:rPr>
          <w:lang w:val="en-GB" w:eastAsia="zh-CN"/>
        </w:rPr>
        <w:t>s</w:t>
      </w:r>
      <w:r>
        <w:rPr>
          <w:lang w:val="en-GB" w:eastAsia="zh-CN"/>
        </w:rPr>
        <w:t xml:space="preserve"> from a policy, industry, customer and community perspective. We have provided substantial time to consult on key issues before we confirm our approach </w:t>
      </w:r>
      <w:r w:rsidR="00DC039C">
        <w:rPr>
          <w:lang w:val="en-GB" w:eastAsia="zh-CN"/>
        </w:rPr>
        <w:t>to assessing NCC</w:t>
      </w:r>
      <w:r w:rsidR="000745A8">
        <w:rPr>
          <w:lang w:val="en-GB" w:eastAsia="zh-CN"/>
        </w:rPr>
        <w:t>s</w:t>
      </w:r>
      <w:r w:rsidR="00DC039C">
        <w:rPr>
          <w:lang w:val="en-GB" w:eastAsia="zh-CN"/>
        </w:rPr>
        <w:t xml:space="preserve"> </w:t>
      </w:r>
      <w:r>
        <w:rPr>
          <w:lang w:val="en-GB" w:eastAsia="zh-CN"/>
        </w:rPr>
        <w:t>in guidance to be issued for the 2028 water price review.</w:t>
      </w:r>
    </w:p>
    <w:p w14:paraId="3DBA6842" w14:textId="3454C95F" w:rsidR="00CF190D" w:rsidRPr="0089526E" w:rsidRDefault="00CF190D" w:rsidP="00CF190D">
      <w:pPr>
        <w:pStyle w:val="Heading2"/>
      </w:pPr>
      <w:bookmarkStart w:id="14" w:name="_Toc174348946"/>
      <w:r>
        <w:t>What are new customer contributions?</w:t>
      </w:r>
      <w:bookmarkEnd w:id="14"/>
    </w:p>
    <w:p w14:paraId="333E746F" w14:textId="190DACBF" w:rsidR="00CF190D" w:rsidRDefault="009242BC" w:rsidP="00CF190D">
      <w:r>
        <w:t>N</w:t>
      </w:r>
      <w:r w:rsidR="00633A61">
        <w:t>ew customer contributions</w:t>
      </w:r>
      <w:r w:rsidR="00CF190D">
        <w:t>, also known as developer charges, are one-off charges levied by water businesses on a property owner applying to connect to a water business’s works or applying to receive increased services. These charges are a contribution towards the costs of works used directly or indirectly for the provision of the services that will benefit the property.</w:t>
      </w:r>
      <w:r w:rsidR="00CF190D">
        <w:rPr>
          <w:rStyle w:val="FootnoteReference"/>
        </w:rPr>
        <w:footnoteReference w:id="5"/>
      </w:r>
      <w:r w:rsidR="00CF190D">
        <w:t xml:space="preserve"> </w:t>
      </w:r>
    </w:p>
    <w:p w14:paraId="7E059299" w14:textId="1E26D5F4" w:rsidR="00CF190D" w:rsidRDefault="00CF190D" w:rsidP="00CF190D">
      <w:r>
        <w:t xml:space="preserve">Generally, </w:t>
      </w:r>
      <w:r w:rsidR="001779B2">
        <w:t>NCC</w:t>
      </w:r>
      <w:r w:rsidR="00926785">
        <w:t>s</w:t>
      </w:r>
      <w:r>
        <w:t xml:space="preserve"> are levied on property owners when subdividing land on the urban fringe or redeveloping sites within built up areas.</w:t>
      </w:r>
      <w:r>
        <w:rPr>
          <w:rStyle w:val="FootnoteReference"/>
        </w:rPr>
        <w:footnoteReference w:id="6"/>
      </w:r>
      <w:r>
        <w:t xml:space="preserve"> They may also be levied when an existing property owner changes the way land is used so that increased or augmented water, sewerage or recycled water services are required at the property.</w:t>
      </w:r>
      <w:r>
        <w:rPr>
          <w:rStyle w:val="FootnoteReference"/>
        </w:rPr>
        <w:footnoteReference w:id="7"/>
      </w:r>
      <w:r>
        <w:t xml:space="preserve">  </w:t>
      </w:r>
    </w:p>
    <w:p w14:paraId="36D5F457" w14:textId="5AB5276A" w:rsidR="00CF190D" w:rsidRDefault="001779B2" w:rsidP="00CF190D">
      <w:r>
        <w:t>NCC</w:t>
      </w:r>
      <w:r w:rsidR="00926785">
        <w:t>s</w:t>
      </w:r>
      <w:r w:rsidR="00CF190D">
        <w:t xml:space="preserve"> establish how much a connecting party pays upfront, versus what will be paid through ongoing charges by the connecting party and all other customers. This latter approach is given effect by the inclusion of relevant costs </w:t>
      </w:r>
      <w:r w:rsidR="00CF190D" w:rsidRPr="007D7AA3">
        <w:t xml:space="preserve">in </w:t>
      </w:r>
      <w:r w:rsidR="00CF190D">
        <w:t>a water business’s r</w:t>
      </w:r>
      <w:r w:rsidR="00CF190D" w:rsidRPr="007D7AA3">
        <w:t xml:space="preserve">egulatory asset base. </w:t>
      </w:r>
      <w:r w:rsidR="00CF190D">
        <w:t>Accordingly, as well as determining who pays, this means NCC</w:t>
      </w:r>
      <w:r w:rsidR="00D72A50">
        <w:t>s</w:t>
      </w:r>
      <w:r w:rsidR="00CF190D">
        <w:t xml:space="preserve"> also influence when a water business recovers relevant costs.</w:t>
      </w:r>
      <w:r w:rsidR="00CF190D">
        <w:rPr>
          <w:rStyle w:val="FootnoteReference"/>
        </w:rPr>
        <w:footnoteReference w:id="8"/>
      </w:r>
    </w:p>
    <w:p w14:paraId="3327CA35" w14:textId="5D460AFE" w:rsidR="00A61EA1" w:rsidRDefault="00913699" w:rsidP="00CF190D">
      <w:r w:rsidRPr="00CC0B74">
        <w:t>In recent years, t</w:t>
      </w:r>
      <w:r w:rsidR="00CF190D" w:rsidRPr="00CC0B74">
        <w:t xml:space="preserve">he water businesses covered by this review </w:t>
      </w:r>
      <w:r w:rsidR="00F434EB" w:rsidRPr="00CC0B74">
        <w:t xml:space="preserve">have </w:t>
      </w:r>
      <w:r w:rsidR="00834299" w:rsidRPr="00CC0B74">
        <w:t>together generated</w:t>
      </w:r>
      <w:r w:rsidR="00CF190D" w:rsidRPr="00CC0B74">
        <w:t xml:space="preserve"> around $2</w:t>
      </w:r>
      <w:r w:rsidR="00D11CB5" w:rsidRPr="00CC0B74">
        <w:t>0</w:t>
      </w:r>
      <w:r w:rsidR="00CF190D" w:rsidRPr="00CC0B74">
        <w:t>0 million in NCC revenue (cash basis) each year, which is around 4.8 per cent of their total regulated revenue.</w:t>
      </w:r>
      <w:r w:rsidR="00EA6F57" w:rsidRPr="00CC0B74">
        <w:t xml:space="preserve"> </w:t>
      </w:r>
      <w:r w:rsidR="00CF190D" w:rsidRPr="00CC0B74">
        <w:t>This excludes gifted assets provided by developers to support their connection, which have grown by around 14 per cent each year on average over the past ten years, totalling around $4</w:t>
      </w:r>
      <w:r w:rsidR="00D11CB5" w:rsidRPr="00CC0B74">
        <w:t>0</w:t>
      </w:r>
      <w:r w:rsidR="00CF190D" w:rsidRPr="00CC0B74">
        <w:t>0 million</w:t>
      </w:r>
      <w:r w:rsidR="00AD447A" w:rsidRPr="00CC0B74">
        <w:t xml:space="preserve"> in </w:t>
      </w:r>
      <w:r w:rsidR="00526B07" w:rsidRPr="00CC0B74">
        <w:t>2022-23</w:t>
      </w:r>
      <w:r w:rsidR="004050EF" w:rsidRPr="00CC0B74">
        <w:t xml:space="preserve"> financial year</w:t>
      </w:r>
      <w:r w:rsidR="00D22BE2" w:rsidRPr="00CC0B74">
        <w:t xml:space="preserve"> alone</w:t>
      </w:r>
      <w:r w:rsidR="00CF190D" w:rsidRPr="00CC0B74">
        <w:t>.</w:t>
      </w:r>
      <w:r w:rsidR="00CF190D" w:rsidRPr="00CC0B74">
        <w:rPr>
          <w:rStyle w:val="FootnoteReference"/>
        </w:rPr>
        <w:footnoteReference w:id="9"/>
      </w:r>
    </w:p>
    <w:p w14:paraId="078974AD" w14:textId="7F293376" w:rsidR="007C16D4" w:rsidRPr="007102CC" w:rsidRDefault="009E2FBF" w:rsidP="007C16D4">
      <w:pPr>
        <w:pStyle w:val="Heading2"/>
      </w:pPr>
      <w:bookmarkStart w:id="15" w:name="_Toc174348947"/>
      <w:r>
        <w:lastRenderedPageBreak/>
        <w:t>Why</w:t>
      </w:r>
      <w:r w:rsidR="007C16D4" w:rsidRPr="007102CC">
        <w:t xml:space="preserve"> is our guidance important?</w:t>
      </w:r>
      <w:bookmarkEnd w:id="15"/>
    </w:p>
    <w:p w14:paraId="3F4DCD04" w14:textId="1A3A0D7E" w:rsidR="007C16D4" w:rsidRPr="007102CC" w:rsidRDefault="007C16D4" w:rsidP="007C16D4">
      <w:r w:rsidRPr="007102CC">
        <w:t xml:space="preserve">The Water Industry Regulatory Order 2014 </w:t>
      </w:r>
      <w:r w:rsidR="00E675C1">
        <w:t xml:space="preserve">(WIRO) </w:t>
      </w:r>
      <w:r w:rsidRPr="007102CC">
        <w:t>specifies the prescribed services provided by water businesses that are subject to regulation by the commission.</w:t>
      </w:r>
      <w:r w:rsidRPr="007102CC">
        <w:rPr>
          <w:rStyle w:val="FootnoteReference"/>
        </w:rPr>
        <w:footnoteReference w:id="10"/>
      </w:r>
      <w:r w:rsidRPr="007102CC">
        <w:t xml:space="preserve"> These include </w:t>
      </w:r>
      <w:r w:rsidR="000A071B">
        <w:t>NCC</w:t>
      </w:r>
      <w:r w:rsidR="00E96FEB">
        <w:t>s</w:t>
      </w:r>
      <w:r w:rsidRPr="007102CC">
        <w:t xml:space="preserve"> (noting the </w:t>
      </w:r>
      <w:r w:rsidR="00FA75B6">
        <w:t>WIRO</w:t>
      </w:r>
      <w:r w:rsidRPr="007102CC">
        <w:t xml:space="preserve"> calls these developer charges). </w:t>
      </w:r>
    </w:p>
    <w:p w14:paraId="26BEE6D3" w14:textId="595A64A3" w:rsidR="007C16D4" w:rsidRPr="007102CC" w:rsidRDefault="007C16D4" w:rsidP="007C16D4">
      <w:r w:rsidRPr="007102CC">
        <w:t xml:space="preserve">The guidance we issue </w:t>
      </w:r>
      <w:r w:rsidR="00B56202">
        <w:t>under</w:t>
      </w:r>
      <w:r w:rsidRPr="007102CC">
        <w:t xml:space="preserve"> the </w:t>
      </w:r>
      <w:r w:rsidR="00E675C1">
        <w:t>WIRO</w:t>
      </w:r>
      <w:r w:rsidR="000E3153">
        <w:t xml:space="preserve"> </w:t>
      </w:r>
      <w:r w:rsidR="00FC71CC">
        <w:t xml:space="preserve">before each price review </w:t>
      </w:r>
      <w:r w:rsidRPr="007102CC" w:rsidDel="00AE7D6C">
        <w:t xml:space="preserve">sets out our </w:t>
      </w:r>
      <w:r w:rsidR="00EC78AD">
        <w:t xml:space="preserve">NCC </w:t>
      </w:r>
      <w:r w:rsidR="009E2FBF">
        <w:t xml:space="preserve">framework. It </w:t>
      </w:r>
      <w:r w:rsidRPr="007102CC">
        <w:t xml:space="preserve">includes requirements for the calculation of </w:t>
      </w:r>
      <w:r w:rsidR="00B63F4C">
        <w:t>proposed</w:t>
      </w:r>
      <w:r w:rsidRPr="007102CC">
        <w:t xml:space="preserve"> NCC</w:t>
      </w:r>
      <w:r w:rsidR="00E96FEB">
        <w:t>s</w:t>
      </w:r>
      <w:r w:rsidRPr="007102CC">
        <w:t xml:space="preserve"> and information to be contained in price submissions </w:t>
      </w:r>
      <w:r w:rsidR="006C2BF8">
        <w:t xml:space="preserve">for </w:t>
      </w:r>
      <w:r w:rsidRPr="007102CC">
        <w:t>our assessmen</w:t>
      </w:r>
      <w:r w:rsidR="00581F17">
        <w:t>t</w:t>
      </w:r>
      <w:r w:rsidR="000E3153">
        <w:t>.</w:t>
      </w:r>
      <w:r w:rsidR="00581F17" w:rsidRPr="007102CC">
        <w:rPr>
          <w:rStyle w:val="FootnoteReference"/>
        </w:rPr>
        <w:footnoteReference w:id="11"/>
      </w:r>
      <w:r w:rsidRPr="007102CC">
        <w:t xml:space="preserve"> Price submissions must comply with our guidance.</w:t>
      </w:r>
    </w:p>
    <w:p w14:paraId="2B1AFD9A" w14:textId="6C324A20" w:rsidR="00DD3182" w:rsidRDefault="007C16D4" w:rsidP="007C16D4">
      <w:r w:rsidRPr="007102CC">
        <w:t>Our framework for NCC</w:t>
      </w:r>
      <w:r w:rsidR="007320EA">
        <w:t>s</w:t>
      </w:r>
      <w:r w:rsidRPr="007102CC">
        <w:t xml:space="preserve"> was set out in </w:t>
      </w:r>
      <w:r w:rsidR="0068520D">
        <w:t xml:space="preserve">the </w:t>
      </w:r>
      <w:r w:rsidRPr="007102CC">
        <w:t>guidance we issued for the 2023 water price review.</w:t>
      </w:r>
      <w:r w:rsidRPr="007102CC">
        <w:rPr>
          <w:rStyle w:val="FootnoteReference"/>
        </w:rPr>
        <w:footnoteReference w:id="12"/>
      </w:r>
      <w:r w:rsidRPr="007102CC">
        <w:t xml:space="preserve"> </w:t>
      </w:r>
    </w:p>
    <w:p w14:paraId="04A9F45D" w14:textId="124F6D64" w:rsidR="007C16D4" w:rsidRDefault="007C16D4" w:rsidP="007C16D4">
      <w:pPr>
        <w:rPr>
          <w:lang w:val="en-GB" w:eastAsia="zh-CN"/>
        </w:rPr>
      </w:pPr>
      <w:r w:rsidRPr="007102CC">
        <w:rPr>
          <w:lang w:val="en-GB" w:eastAsia="zh-CN"/>
        </w:rPr>
        <w:t xml:space="preserve">The 2023 guidance </w:t>
      </w:r>
      <w:r w:rsidR="00F05954">
        <w:rPr>
          <w:lang w:val="en-GB" w:eastAsia="zh-CN"/>
        </w:rPr>
        <w:t xml:space="preserve">specified </w:t>
      </w:r>
      <w:r w:rsidRPr="007102CC">
        <w:rPr>
          <w:lang w:val="en-GB" w:eastAsia="zh-CN"/>
        </w:rPr>
        <w:t xml:space="preserve">pricing principles which we required water businesses to use </w:t>
      </w:r>
      <w:r w:rsidR="00060DC8">
        <w:rPr>
          <w:lang w:val="en-GB" w:eastAsia="zh-CN"/>
        </w:rPr>
        <w:t>in</w:t>
      </w:r>
      <w:r w:rsidRPr="007102CC">
        <w:rPr>
          <w:lang w:val="en-GB" w:eastAsia="zh-CN"/>
        </w:rPr>
        <w:t xml:space="preserve"> calculat</w:t>
      </w:r>
      <w:r w:rsidR="00060DC8">
        <w:rPr>
          <w:lang w:val="en-GB" w:eastAsia="zh-CN"/>
        </w:rPr>
        <w:t>ing</w:t>
      </w:r>
      <w:r w:rsidRPr="007102CC">
        <w:rPr>
          <w:lang w:val="en-GB" w:eastAsia="zh-CN"/>
        </w:rPr>
        <w:t xml:space="preserve"> their NCC</w:t>
      </w:r>
      <w:r w:rsidR="00FE0BCC">
        <w:rPr>
          <w:lang w:val="en-GB" w:eastAsia="zh-CN"/>
        </w:rPr>
        <w:t>s</w:t>
      </w:r>
      <w:r w:rsidRPr="007102CC">
        <w:rPr>
          <w:lang w:val="en-GB" w:eastAsia="zh-CN"/>
        </w:rPr>
        <w:t xml:space="preserve"> (Box 1.</w:t>
      </w:r>
      <w:r>
        <w:rPr>
          <w:lang w:val="en-GB" w:eastAsia="zh-CN"/>
        </w:rPr>
        <w:t>1</w:t>
      </w:r>
      <w:r w:rsidRPr="007102CC">
        <w:rPr>
          <w:lang w:val="en-GB" w:eastAsia="zh-CN"/>
        </w:rPr>
        <w:t>).</w:t>
      </w:r>
      <w:r w:rsidR="00B14C99" w:rsidRPr="00B14C99">
        <w:rPr>
          <w:lang w:val="en-GB" w:eastAsia="zh-CN"/>
        </w:rPr>
        <w:t xml:space="preserve"> </w:t>
      </w:r>
      <w:r w:rsidR="00B14C99" w:rsidRPr="007102CC">
        <w:rPr>
          <w:lang w:val="en-GB" w:eastAsia="zh-CN"/>
        </w:rPr>
        <w:t>It also referenced the explanatory note we issued in December 2013 which set</w:t>
      </w:r>
      <w:r w:rsidR="001B05CE">
        <w:rPr>
          <w:lang w:val="en-GB" w:eastAsia="zh-CN"/>
        </w:rPr>
        <w:t>s</w:t>
      </w:r>
      <w:r w:rsidR="00B14C99" w:rsidRPr="007102CC">
        <w:rPr>
          <w:lang w:val="en-GB" w:eastAsia="zh-CN"/>
        </w:rPr>
        <w:t xml:space="preserve"> out detail on the types of NCC</w:t>
      </w:r>
      <w:r w:rsidR="00FE0BCC">
        <w:rPr>
          <w:lang w:val="en-GB" w:eastAsia="zh-CN"/>
        </w:rPr>
        <w:t>s</w:t>
      </w:r>
      <w:r w:rsidR="00B14C99" w:rsidRPr="007102CC">
        <w:rPr>
          <w:lang w:val="en-GB" w:eastAsia="zh-CN"/>
        </w:rPr>
        <w:t xml:space="preserve"> (standard or negotiated) and how to interpret and apply the pricing principles. Th</w:t>
      </w:r>
      <w:r w:rsidR="00031700">
        <w:rPr>
          <w:lang w:val="en-GB" w:eastAsia="zh-CN"/>
        </w:rPr>
        <w:t>e</w:t>
      </w:r>
      <w:r w:rsidR="00B14C99" w:rsidRPr="007102CC">
        <w:rPr>
          <w:lang w:val="en-GB" w:eastAsia="zh-CN"/>
        </w:rPr>
        <w:t xml:space="preserve"> explanatory note formed part of the guidance.</w:t>
      </w:r>
    </w:p>
    <w:p w14:paraId="071040BF" w14:textId="77777777" w:rsidR="007C16D4" w:rsidRDefault="007C16D4" w:rsidP="007C16D4">
      <w:pPr>
        <w:pStyle w:val="Figure-Table-BoxHeading"/>
        <w:keepNext/>
        <w:spacing w:line="336" w:lineRule="auto"/>
        <w:ind w:left="1418" w:hanging="1418"/>
        <w:rPr>
          <w:noProof/>
          <w:lang w:eastAsia="zh-CN"/>
        </w:rPr>
      </w:pPr>
      <w:r>
        <w:rPr>
          <w:noProof/>
          <w:lang w:eastAsia="zh-CN"/>
        </w:rPr>
        <w:t>Box 1.1</w:t>
      </w:r>
      <w:r>
        <w:rPr>
          <w:noProof/>
          <w:lang w:eastAsia="zh-CN"/>
        </w:rPr>
        <w:tab/>
        <w:t>New customer contributions pricing principles</w:t>
      </w:r>
    </w:p>
    <w:p w14:paraId="15909244" w14:textId="77777777" w:rsidR="007C16D4" w:rsidRDefault="007C16D4" w:rsidP="007C16D4">
      <w:pPr>
        <w:pStyle w:val="Pull-out"/>
        <w:rPr>
          <w:noProof/>
          <w:lang w:eastAsia="zh-CN"/>
        </w:rPr>
      </w:pPr>
      <w:r w:rsidRPr="000915AE">
        <w:rPr>
          <w:noProof/>
          <w:lang w:eastAsia="zh-CN"/>
        </w:rPr>
        <w:t>Standard and negotiated new customer contributions will:</w:t>
      </w:r>
      <w:r>
        <w:rPr>
          <w:rStyle w:val="FootnoteReference"/>
        </w:rPr>
        <w:footnoteReference w:id="13"/>
      </w:r>
    </w:p>
    <w:p w14:paraId="6647FAFD" w14:textId="184F80BD" w:rsidR="007C16D4" w:rsidRPr="00DB7130" w:rsidRDefault="007C16D4" w:rsidP="007C16D4">
      <w:pPr>
        <w:pStyle w:val="Pull-outBullet1"/>
        <w:ind w:left="555" w:hanging="357"/>
      </w:pPr>
      <w:r>
        <w:rPr>
          <w:noProof/>
          <w:lang w:eastAsia="zh-CN"/>
        </w:rPr>
        <w:t>ha</w:t>
      </w:r>
      <w:r w:rsidR="00927CEB">
        <w:rPr>
          <w:noProof/>
          <w:lang w:eastAsia="zh-CN"/>
        </w:rPr>
        <w:t>v</w:t>
      </w:r>
      <w:proofErr w:type="spellStart"/>
      <w:r w:rsidR="00927CEB">
        <w:rPr>
          <w:lang w:eastAsia="zh-CN"/>
        </w:rPr>
        <w:t>e</w:t>
      </w:r>
      <w:proofErr w:type="spellEnd"/>
      <w:r w:rsidRPr="00DB7130">
        <w:t xml:space="preserve"> regard to the incremental infrastructure and associated costs in one or more of the statutory cost categories attributable to a given connection</w:t>
      </w:r>
    </w:p>
    <w:p w14:paraId="7274B644" w14:textId="77777777" w:rsidR="007C16D4" w:rsidRPr="00DB7130" w:rsidRDefault="007C16D4" w:rsidP="007C16D4">
      <w:pPr>
        <w:pStyle w:val="Pull-outBullet1"/>
        <w:ind w:left="555" w:hanging="357"/>
      </w:pPr>
      <w:r w:rsidRPr="00DB7130">
        <w:t>have regard to the incremental future revenues that will be earned from customers at that connection</w:t>
      </w:r>
    </w:p>
    <w:p w14:paraId="0281404C" w14:textId="77777777" w:rsidR="007C16D4" w:rsidRPr="00DB7130" w:rsidRDefault="007C16D4" w:rsidP="007C16D4">
      <w:pPr>
        <w:pStyle w:val="Pull-outBullet1"/>
        <w:ind w:left="555" w:hanging="357"/>
      </w:pPr>
      <w:r w:rsidRPr="00DB7130">
        <w:t>be greater than the avoidable cost of that connection and less than the standalone cost of that connection.</w:t>
      </w:r>
    </w:p>
    <w:p w14:paraId="307DBA06" w14:textId="77777777" w:rsidR="008919F2" w:rsidRDefault="007C16D4" w:rsidP="00ED107A">
      <w:pPr>
        <w:rPr>
          <w:lang w:val="en-GB" w:eastAsia="zh-CN"/>
        </w:rPr>
      </w:pPr>
      <w:r w:rsidRPr="007102CC">
        <w:rPr>
          <w:lang w:val="en-GB" w:eastAsia="zh-CN"/>
        </w:rPr>
        <w:t xml:space="preserve">As it sets out our </w:t>
      </w:r>
      <w:r w:rsidR="006B32B9">
        <w:rPr>
          <w:lang w:val="en-GB" w:eastAsia="zh-CN"/>
        </w:rPr>
        <w:t>NCC</w:t>
      </w:r>
      <w:r w:rsidRPr="007102CC">
        <w:rPr>
          <w:lang w:val="en-GB" w:eastAsia="zh-CN"/>
        </w:rPr>
        <w:t xml:space="preserve"> framework, the guidance</w:t>
      </w:r>
      <w:r w:rsidR="009C19A2">
        <w:rPr>
          <w:lang w:val="en-GB" w:eastAsia="zh-CN"/>
        </w:rPr>
        <w:t xml:space="preserve"> must be clear on t</w:t>
      </w:r>
      <w:r w:rsidRPr="007102CC">
        <w:rPr>
          <w:lang w:val="en-GB" w:eastAsia="zh-CN"/>
        </w:rPr>
        <w:t xml:space="preserve">he </w:t>
      </w:r>
      <w:r w:rsidR="009C19A2">
        <w:rPr>
          <w:lang w:val="en-GB" w:eastAsia="zh-CN"/>
        </w:rPr>
        <w:t xml:space="preserve">assessment </w:t>
      </w:r>
      <w:r w:rsidR="00877CF1">
        <w:rPr>
          <w:lang w:val="en-GB" w:eastAsia="zh-CN"/>
        </w:rPr>
        <w:t>criteria</w:t>
      </w:r>
      <w:r w:rsidR="009C19A2">
        <w:rPr>
          <w:lang w:val="en-GB" w:eastAsia="zh-CN"/>
        </w:rPr>
        <w:t xml:space="preserve"> </w:t>
      </w:r>
      <w:r w:rsidRPr="007102CC">
        <w:rPr>
          <w:lang w:val="en-GB" w:eastAsia="zh-CN"/>
        </w:rPr>
        <w:t xml:space="preserve">and the information </w:t>
      </w:r>
      <w:r w:rsidR="009C19A2">
        <w:rPr>
          <w:lang w:val="en-GB" w:eastAsia="zh-CN"/>
        </w:rPr>
        <w:t xml:space="preserve">water businesses </w:t>
      </w:r>
      <w:r w:rsidR="00C43477">
        <w:rPr>
          <w:lang w:val="en-GB" w:eastAsia="zh-CN"/>
        </w:rPr>
        <w:t xml:space="preserve">need to </w:t>
      </w:r>
      <w:r w:rsidRPr="007102CC">
        <w:rPr>
          <w:lang w:val="en-GB" w:eastAsia="zh-CN"/>
        </w:rPr>
        <w:t xml:space="preserve">provide </w:t>
      </w:r>
      <w:r w:rsidR="008013AF">
        <w:rPr>
          <w:lang w:val="en-GB" w:eastAsia="zh-CN"/>
        </w:rPr>
        <w:t>to</w:t>
      </w:r>
      <w:r w:rsidRPr="007102CC">
        <w:rPr>
          <w:lang w:val="en-GB" w:eastAsia="zh-CN"/>
        </w:rPr>
        <w:t xml:space="preserve"> support their proposals. </w:t>
      </w:r>
      <w:r w:rsidR="0006030E">
        <w:rPr>
          <w:lang w:val="en-GB" w:eastAsia="zh-CN"/>
        </w:rPr>
        <w:t>G</w:t>
      </w:r>
      <w:r w:rsidRPr="007102CC">
        <w:rPr>
          <w:lang w:val="en-GB" w:eastAsia="zh-CN"/>
        </w:rPr>
        <w:t>iven the issues that arose at the 2023 water price review</w:t>
      </w:r>
      <w:r w:rsidR="00877CF1">
        <w:rPr>
          <w:lang w:val="en-GB" w:eastAsia="zh-CN"/>
        </w:rPr>
        <w:t>,</w:t>
      </w:r>
      <w:r w:rsidRPr="007102CC">
        <w:rPr>
          <w:lang w:val="en-GB" w:eastAsia="zh-CN"/>
        </w:rPr>
        <w:t xml:space="preserve"> we may need to consider additional or clarified guidance on </w:t>
      </w:r>
      <w:r w:rsidR="005A2B0B">
        <w:rPr>
          <w:lang w:val="en-GB" w:eastAsia="zh-CN"/>
        </w:rPr>
        <w:t>implementation issues</w:t>
      </w:r>
      <w:r w:rsidRPr="007102CC">
        <w:rPr>
          <w:lang w:val="en-GB" w:eastAsia="zh-CN"/>
        </w:rPr>
        <w:t xml:space="preserve"> </w:t>
      </w:r>
      <w:r w:rsidR="00ED107A">
        <w:rPr>
          <w:lang w:val="en-GB" w:eastAsia="zh-CN"/>
        </w:rPr>
        <w:t>summarised below</w:t>
      </w:r>
      <w:r w:rsidRPr="007102CC">
        <w:rPr>
          <w:lang w:val="en-GB" w:eastAsia="zh-CN"/>
        </w:rPr>
        <w:t xml:space="preserve">. </w:t>
      </w:r>
      <w:r w:rsidR="00232967">
        <w:rPr>
          <w:lang w:val="en-GB" w:eastAsia="zh-CN"/>
        </w:rPr>
        <w:t xml:space="preserve">Our </w:t>
      </w:r>
      <w:r w:rsidRPr="007102CC">
        <w:rPr>
          <w:lang w:val="en-GB" w:eastAsia="zh-CN"/>
        </w:rPr>
        <w:t xml:space="preserve">2023 guidance </w:t>
      </w:r>
      <w:r w:rsidR="00232967">
        <w:rPr>
          <w:lang w:val="en-GB" w:eastAsia="zh-CN"/>
        </w:rPr>
        <w:t xml:space="preserve">is </w:t>
      </w:r>
      <w:r w:rsidRPr="007102CC">
        <w:rPr>
          <w:lang w:val="en-GB" w:eastAsia="zh-CN"/>
        </w:rPr>
        <w:t xml:space="preserve">available </w:t>
      </w:r>
      <w:hyperlink r:id="rId21" w:anchor="tabs-container2" w:history="1">
        <w:r w:rsidRPr="007102CC">
          <w:rPr>
            <w:rStyle w:val="Hyperlink"/>
            <w:lang w:val="en-GB" w:eastAsia="zh-CN"/>
          </w:rPr>
          <w:t>here</w:t>
        </w:r>
      </w:hyperlink>
      <w:r w:rsidRPr="007102CC">
        <w:rPr>
          <w:lang w:val="en-GB" w:eastAsia="zh-CN"/>
        </w:rPr>
        <w:t>.</w:t>
      </w:r>
      <w:r w:rsidR="00852D65">
        <w:rPr>
          <w:lang w:val="en-GB" w:eastAsia="zh-CN"/>
        </w:rPr>
        <w:t xml:space="preserve"> </w:t>
      </w:r>
    </w:p>
    <w:p w14:paraId="620D480F" w14:textId="25CF96AD" w:rsidR="00B34348" w:rsidRPr="00DE4401" w:rsidRDefault="005E6615" w:rsidP="00B950F0">
      <w:pPr>
        <w:pStyle w:val="Heading2"/>
      </w:pPr>
      <w:bookmarkStart w:id="16" w:name="_Toc174348948"/>
      <w:r w:rsidRPr="00DE4401">
        <w:lastRenderedPageBreak/>
        <w:t xml:space="preserve">What are the implementation issues that we want to </w:t>
      </w:r>
      <w:r w:rsidR="0016319E" w:rsidRPr="00DE4401">
        <w:t>address</w:t>
      </w:r>
      <w:r w:rsidR="00B34348" w:rsidRPr="00DE4401">
        <w:t>?</w:t>
      </w:r>
      <w:bookmarkEnd w:id="16"/>
    </w:p>
    <w:p w14:paraId="2012A408" w14:textId="455DC58D" w:rsidR="004843BA" w:rsidRPr="00DE4401" w:rsidRDefault="00B34348" w:rsidP="00B34348">
      <w:r w:rsidRPr="00DE4401">
        <w:t xml:space="preserve">Our </w:t>
      </w:r>
      <w:r w:rsidR="00770235" w:rsidRPr="00DE4401">
        <w:t>last</w:t>
      </w:r>
      <w:r w:rsidRPr="00DE4401">
        <w:t xml:space="preserve"> review </w:t>
      </w:r>
      <w:r w:rsidR="009F7555" w:rsidRPr="00DE4401">
        <w:t xml:space="preserve">of </w:t>
      </w:r>
      <w:r w:rsidR="00D37FF2" w:rsidRPr="00DE4401">
        <w:t>the new customer contributions framework</w:t>
      </w:r>
      <w:r w:rsidR="009F7555" w:rsidRPr="00DE4401">
        <w:t xml:space="preserve"> </w:t>
      </w:r>
      <w:r w:rsidRPr="00DE4401">
        <w:t>was undertaken in the lead up to the 2013 water price review.</w:t>
      </w:r>
      <w:r w:rsidR="000026AE" w:rsidRPr="00DE4401">
        <w:t xml:space="preserve"> The review </w:t>
      </w:r>
      <w:r w:rsidR="004B106B" w:rsidRPr="00DE4401">
        <w:t xml:space="preserve">led to </w:t>
      </w:r>
      <w:r w:rsidR="00216354" w:rsidRPr="00DE4401">
        <w:t xml:space="preserve">a </w:t>
      </w:r>
      <w:r w:rsidR="004B106B" w:rsidRPr="00DE4401">
        <w:t>principles</w:t>
      </w:r>
      <w:r w:rsidR="00D03B18" w:rsidRPr="00DE4401">
        <w:t>-</w:t>
      </w:r>
      <w:r w:rsidR="004B106B" w:rsidRPr="00DE4401">
        <w:t>based framework</w:t>
      </w:r>
      <w:r w:rsidR="000026AE" w:rsidRPr="00DE4401">
        <w:t xml:space="preserve">, </w:t>
      </w:r>
      <w:r w:rsidR="004843BA" w:rsidRPr="00DE4401">
        <w:t xml:space="preserve">providing flexibility </w:t>
      </w:r>
      <w:r w:rsidR="005C5CB2" w:rsidRPr="00DE4401">
        <w:t xml:space="preserve">in how </w:t>
      </w:r>
      <w:r w:rsidR="00475C9A" w:rsidRPr="00DE4401">
        <w:t>NCCs</w:t>
      </w:r>
      <w:r w:rsidR="004843BA" w:rsidRPr="00DE4401">
        <w:t xml:space="preserve"> are calculated</w:t>
      </w:r>
      <w:r w:rsidR="00EF5130" w:rsidRPr="00DE4401">
        <w:t xml:space="preserve"> and applied</w:t>
      </w:r>
      <w:r w:rsidR="00EE3446" w:rsidRPr="00DE4401">
        <w:t xml:space="preserve"> -</w:t>
      </w:r>
      <w:r w:rsidR="00145F19" w:rsidRPr="00DE4401">
        <w:t xml:space="preserve"> a change from the more prescriptive approach that </w:t>
      </w:r>
      <w:r w:rsidR="00EF5130" w:rsidRPr="00DE4401">
        <w:t>had been in place</w:t>
      </w:r>
      <w:r w:rsidR="0002163A" w:rsidRPr="00DE4401">
        <w:t xml:space="preserve"> </w:t>
      </w:r>
      <w:r w:rsidR="003A537B" w:rsidRPr="00DE4401">
        <w:t>before</w:t>
      </w:r>
      <w:r w:rsidR="0002163A" w:rsidRPr="00DE4401">
        <w:t xml:space="preserve"> then</w:t>
      </w:r>
      <w:r w:rsidR="006C5982" w:rsidRPr="00DE4401">
        <w:t>.</w:t>
      </w:r>
    </w:p>
    <w:p w14:paraId="1228B67A" w14:textId="164435D9" w:rsidR="00990CD4" w:rsidRPr="00DE4401" w:rsidRDefault="00B34348" w:rsidP="00B34348">
      <w:r w:rsidRPr="00DE4401">
        <w:t>Following changes to the Water Industry Regulatory Order applying from 2014, we consulted on a new pricing approach for water and sewerage services (</w:t>
      </w:r>
      <w:r w:rsidR="00A43719" w:rsidRPr="00DE4401">
        <w:t xml:space="preserve">this </w:t>
      </w:r>
      <w:r w:rsidR="00534C9E" w:rsidRPr="00DE4401">
        <w:t>result</w:t>
      </w:r>
      <w:r w:rsidR="00A43719" w:rsidRPr="00DE4401">
        <w:t>ed</w:t>
      </w:r>
      <w:r w:rsidR="00A51EFA" w:rsidRPr="00DE4401">
        <w:t xml:space="preserve"> </w:t>
      </w:r>
      <w:r w:rsidR="00534C9E" w:rsidRPr="00DE4401">
        <w:t xml:space="preserve">in the implementation of </w:t>
      </w:r>
      <w:r w:rsidRPr="00DE4401">
        <w:t>PREMO</w:t>
      </w:r>
      <w:r w:rsidR="003B6128" w:rsidRPr="00DE4401">
        <w:t>,</w:t>
      </w:r>
      <w:r w:rsidR="00534C9E" w:rsidRPr="00DE4401">
        <w:t xml:space="preserve"> </w:t>
      </w:r>
      <w:r w:rsidR="00A43719" w:rsidRPr="00DE4401">
        <w:t>a framework that seeks to incentivise best offers in price submission</w:t>
      </w:r>
      <w:r w:rsidR="003B6128" w:rsidRPr="00DE4401">
        <w:t>s, from 2018</w:t>
      </w:r>
      <w:r w:rsidRPr="00DE4401">
        <w:t xml:space="preserve">). At that time, we noted </w:t>
      </w:r>
      <w:r w:rsidR="00C62266" w:rsidRPr="00DE4401">
        <w:t xml:space="preserve">the </w:t>
      </w:r>
      <w:r w:rsidR="003C3C1F" w:rsidRPr="00DE4401">
        <w:t>NCC</w:t>
      </w:r>
      <w:r w:rsidR="005E6ACC" w:rsidRPr="00DE4401">
        <w:t xml:space="preserve"> framework</w:t>
      </w:r>
      <w:r w:rsidRPr="00DE4401">
        <w:t xml:space="preserve"> was not a matter that needed a review.</w:t>
      </w:r>
      <w:r w:rsidRPr="00DE4401">
        <w:rPr>
          <w:rStyle w:val="FootnoteReference"/>
        </w:rPr>
        <w:footnoteReference w:id="14"/>
      </w:r>
      <w:r w:rsidRPr="00DE4401">
        <w:t xml:space="preserve"> </w:t>
      </w:r>
    </w:p>
    <w:p w14:paraId="13171BE0" w14:textId="7B09B7A4" w:rsidR="00166B45" w:rsidRPr="00DE4401" w:rsidRDefault="007038E0" w:rsidP="003C3C1F">
      <w:bookmarkStart w:id="17" w:name="_Toc168330152"/>
      <w:r w:rsidRPr="00DE4401">
        <w:t>W</w:t>
      </w:r>
      <w:r w:rsidR="009F33E4" w:rsidRPr="00DE4401">
        <w:t xml:space="preserve">e consider the </w:t>
      </w:r>
      <w:r w:rsidR="00E774EC" w:rsidRPr="00DE4401">
        <w:t xml:space="preserve">principles-based </w:t>
      </w:r>
      <w:r w:rsidR="003C3C1F" w:rsidRPr="00DE4401">
        <w:t>NCC</w:t>
      </w:r>
      <w:r w:rsidR="009F33E4" w:rsidRPr="00DE4401">
        <w:t xml:space="preserve"> framework work</w:t>
      </w:r>
      <w:r w:rsidR="00A55766" w:rsidRPr="00DE4401">
        <w:t>ed</w:t>
      </w:r>
      <w:r w:rsidR="009F33E4" w:rsidRPr="00DE4401">
        <w:t xml:space="preserve"> well</w:t>
      </w:r>
      <w:r w:rsidR="00A55766" w:rsidRPr="00DE4401">
        <w:t xml:space="preserve"> for the </w:t>
      </w:r>
      <w:r w:rsidR="0008745F" w:rsidRPr="00DE4401">
        <w:t>decade leading up to the 2023 water price review</w:t>
      </w:r>
      <w:r w:rsidR="00187B93" w:rsidRPr="00DE4401">
        <w:t xml:space="preserve">. </w:t>
      </w:r>
      <w:r w:rsidR="00235293" w:rsidRPr="00DE4401">
        <w:t xml:space="preserve">At the 2023 price review, </w:t>
      </w:r>
      <w:r w:rsidR="00B940B3" w:rsidRPr="00DE4401">
        <w:t>s</w:t>
      </w:r>
      <w:r w:rsidR="00A722CD" w:rsidRPr="00DE4401">
        <w:t xml:space="preserve">ome water businesses provided </w:t>
      </w:r>
      <w:r w:rsidR="00260684" w:rsidRPr="00DE4401">
        <w:t xml:space="preserve">good justification for their </w:t>
      </w:r>
      <w:r w:rsidR="00B34348" w:rsidRPr="00DE4401">
        <w:t xml:space="preserve">NCC proposals. </w:t>
      </w:r>
      <w:r w:rsidR="00260684" w:rsidRPr="00DE4401">
        <w:t xml:space="preserve">However, </w:t>
      </w:r>
      <w:r w:rsidR="00235293" w:rsidRPr="00DE4401">
        <w:t xml:space="preserve">many put forward </w:t>
      </w:r>
      <w:r w:rsidR="00532EC1" w:rsidRPr="00DE4401">
        <w:t>NCC</w:t>
      </w:r>
      <w:r w:rsidR="000E4D11" w:rsidRPr="00DE4401">
        <w:t>s</w:t>
      </w:r>
      <w:r w:rsidR="00B34348" w:rsidRPr="00DE4401">
        <w:t xml:space="preserve"> that </w:t>
      </w:r>
      <w:r w:rsidR="000F1CFB" w:rsidRPr="00DE4401">
        <w:t xml:space="preserve">we consider </w:t>
      </w:r>
      <w:r w:rsidR="00235293" w:rsidRPr="00DE4401">
        <w:t xml:space="preserve">did not support the </w:t>
      </w:r>
      <w:r w:rsidRPr="00DE4401">
        <w:t>objectives</w:t>
      </w:r>
      <w:r w:rsidR="00235293" w:rsidRPr="00DE4401">
        <w:t xml:space="preserve"> </w:t>
      </w:r>
      <w:r w:rsidR="004A0F33" w:rsidRPr="00DE4401">
        <w:t xml:space="preserve">of </w:t>
      </w:r>
      <w:r w:rsidR="000F1CFB" w:rsidRPr="00DE4401">
        <w:t xml:space="preserve">our </w:t>
      </w:r>
      <w:r w:rsidR="004A0F33" w:rsidRPr="00DE4401">
        <w:t>framework</w:t>
      </w:r>
      <w:r w:rsidR="00235293" w:rsidRPr="00DE4401">
        <w:t>.</w:t>
      </w:r>
      <w:r w:rsidR="00F82D57" w:rsidRPr="00DE4401">
        <w:t xml:space="preserve"> </w:t>
      </w:r>
      <w:r w:rsidR="004A0F33" w:rsidRPr="00DE4401">
        <w:t>Key i</w:t>
      </w:r>
      <w:r w:rsidR="00F82D57" w:rsidRPr="00DE4401">
        <w:t>ssues included</w:t>
      </w:r>
      <w:r w:rsidR="00166B45" w:rsidRPr="00DE4401">
        <w:t>:</w:t>
      </w:r>
    </w:p>
    <w:p w14:paraId="57F1385D" w14:textId="77777777" w:rsidR="007E126C" w:rsidRPr="00DE4401" w:rsidRDefault="00805402" w:rsidP="00A3386C">
      <w:pPr>
        <w:pStyle w:val="ListBullet"/>
      </w:pPr>
      <w:r w:rsidRPr="00DE4401">
        <w:t>U</w:t>
      </w:r>
      <w:r w:rsidR="00E8071A" w:rsidRPr="00DE4401">
        <w:t>njustified</w:t>
      </w:r>
      <w:r w:rsidR="008E6804" w:rsidRPr="00DE4401">
        <w:t xml:space="preserve"> </w:t>
      </w:r>
      <w:r w:rsidR="00E8071A" w:rsidRPr="00DE4401">
        <w:t xml:space="preserve">costs </w:t>
      </w:r>
      <w:r w:rsidR="00B51138" w:rsidRPr="00DE4401">
        <w:t xml:space="preserve">to be recovered </w:t>
      </w:r>
      <w:r w:rsidR="008E6804" w:rsidRPr="00DE4401">
        <w:t xml:space="preserve">from </w:t>
      </w:r>
      <w:r w:rsidR="002C42D4" w:rsidRPr="00DE4401">
        <w:t>new</w:t>
      </w:r>
      <w:r w:rsidR="000B579D" w:rsidRPr="00DE4401">
        <w:t xml:space="preserve"> customer contributions</w:t>
      </w:r>
      <w:r w:rsidR="00414DC6" w:rsidRPr="00DE4401">
        <w:t xml:space="preserve">. </w:t>
      </w:r>
      <w:r w:rsidR="00B34348" w:rsidRPr="00DE4401">
        <w:t xml:space="preserve">This included lack of documentation and justification by </w:t>
      </w:r>
      <w:r w:rsidR="0071707B" w:rsidRPr="00DE4401">
        <w:t>some</w:t>
      </w:r>
      <w:r w:rsidR="004B5371" w:rsidRPr="00DE4401">
        <w:t xml:space="preserve"> </w:t>
      </w:r>
      <w:r w:rsidR="00A52E23" w:rsidRPr="00DE4401">
        <w:t>businesses</w:t>
      </w:r>
      <w:r w:rsidR="004B5371" w:rsidRPr="00DE4401">
        <w:t xml:space="preserve"> on </w:t>
      </w:r>
      <w:r w:rsidR="000D07BC" w:rsidRPr="00DE4401">
        <w:t>the</w:t>
      </w:r>
      <w:r w:rsidR="004B5371" w:rsidRPr="00DE4401">
        <w:t xml:space="preserve"> allocation</w:t>
      </w:r>
      <w:r w:rsidR="00EA1D85" w:rsidRPr="00DE4401">
        <w:t xml:space="preserve"> </w:t>
      </w:r>
      <w:r w:rsidR="000D07BC" w:rsidRPr="00DE4401">
        <w:t xml:space="preserve">of costs </w:t>
      </w:r>
      <w:r w:rsidR="00EA1D85" w:rsidRPr="00DE4401">
        <w:t xml:space="preserve">between growth </w:t>
      </w:r>
      <w:r w:rsidR="0064677A" w:rsidRPr="00DE4401">
        <w:t>and non-growth assets</w:t>
      </w:r>
      <w:r w:rsidR="00FF526D" w:rsidRPr="00DE4401">
        <w:t>.</w:t>
      </w:r>
    </w:p>
    <w:p w14:paraId="78951293" w14:textId="490C6EB0" w:rsidR="00B34348" w:rsidRPr="00DE4401" w:rsidRDefault="00FF5E31" w:rsidP="000A7423">
      <w:pPr>
        <w:pStyle w:val="ListBullet"/>
      </w:pPr>
      <w:r w:rsidRPr="00DE4401">
        <w:t xml:space="preserve">Variation in approach to the inclusion </w:t>
      </w:r>
      <w:r w:rsidR="000A2B1D" w:rsidRPr="00DE4401">
        <w:t xml:space="preserve">of </w:t>
      </w:r>
      <w:r w:rsidR="00CF4634" w:rsidRPr="00DE4401">
        <w:t>costs relating to assets, leading to different practice</w:t>
      </w:r>
      <w:r w:rsidR="001B4F11" w:rsidRPr="00DE4401">
        <w:t>s</w:t>
      </w:r>
      <w:r w:rsidR="00CF4634" w:rsidRPr="00DE4401">
        <w:t xml:space="preserve"> across the water sector</w:t>
      </w:r>
      <w:r w:rsidR="007D7E1D" w:rsidRPr="00DE4401">
        <w:t xml:space="preserve"> (including proposals to reflect ‘sunk’ costs)</w:t>
      </w:r>
      <w:r w:rsidR="00B34348" w:rsidRPr="00DE4401">
        <w:t>.</w:t>
      </w:r>
    </w:p>
    <w:p w14:paraId="09F69192" w14:textId="36436A1F" w:rsidR="00B34348" w:rsidRPr="00DE4401" w:rsidRDefault="00B34348" w:rsidP="000A7423">
      <w:pPr>
        <w:pStyle w:val="ListBullet"/>
      </w:pPr>
      <w:r w:rsidRPr="00DE4401">
        <w:t xml:space="preserve">Some businesses proposing common pricing over relatively large areas even where costs may differ markedly within the area. </w:t>
      </w:r>
    </w:p>
    <w:p w14:paraId="533B4928" w14:textId="3443DEBF" w:rsidR="00B34348" w:rsidRPr="00DE4401" w:rsidRDefault="004A0F03" w:rsidP="000A7423">
      <w:pPr>
        <w:pStyle w:val="ListBullet"/>
      </w:pPr>
      <w:r w:rsidRPr="00DE4401">
        <w:t>I</w:t>
      </w:r>
      <w:r w:rsidR="00B34348" w:rsidRPr="00DE4401">
        <w:t>nformation provided to stakeholders</w:t>
      </w:r>
      <w:r w:rsidR="007677D3" w:rsidRPr="00DE4401">
        <w:t xml:space="preserve"> </w:t>
      </w:r>
      <w:r w:rsidRPr="00DE4401">
        <w:t>often lacked transparency</w:t>
      </w:r>
      <w:r w:rsidR="007677D3" w:rsidRPr="00DE4401">
        <w:t>.</w:t>
      </w:r>
      <w:r w:rsidR="00B34348" w:rsidRPr="00DE4401">
        <w:t xml:space="preserve"> </w:t>
      </w:r>
    </w:p>
    <w:p w14:paraId="6B67C70E" w14:textId="784C6CD1" w:rsidR="00D80E71" w:rsidRDefault="00D80E71" w:rsidP="00D80E71">
      <w:pPr>
        <w:rPr>
          <w:noProof/>
          <w:lang w:val="en-GB" w:eastAsia="zh-CN"/>
        </w:rPr>
      </w:pPr>
      <w:r w:rsidRPr="00DE4401">
        <w:rPr>
          <w:noProof/>
          <w:lang w:val="en-GB" w:eastAsia="zh-CN"/>
        </w:rPr>
        <w:t>More detail is provided in Chatper 5.</w:t>
      </w:r>
    </w:p>
    <w:p w14:paraId="65678E2E" w14:textId="413F10EF" w:rsidR="00990EF7" w:rsidRDefault="003517F7" w:rsidP="006775E6">
      <w:pPr>
        <w:pStyle w:val="Heading2"/>
        <w:rPr>
          <w:noProof/>
          <w:lang w:val="en-GB" w:eastAsia="zh-CN"/>
        </w:rPr>
      </w:pPr>
      <w:bookmarkStart w:id="18" w:name="_Toc174348949"/>
      <w:r>
        <w:rPr>
          <w:noProof/>
          <w:lang w:val="en-GB" w:eastAsia="zh-CN"/>
        </w:rPr>
        <w:t>How can you be involved in our review</w:t>
      </w:r>
      <w:r w:rsidR="001B023A">
        <w:rPr>
          <w:noProof/>
          <w:lang w:val="en-GB" w:eastAsia="zh-CN"/>
        </w:rPr>
        <w:t>?</w:t>
      </w:r>
      <w:bookmarkEnd w:id="18"/>
    </w:p>
    <w:p w14:paraId="4DD24347" w14:textId="77777777" w:rsidR="001C4157" w:rsidRDefault="001C4157" w:rsidP="001C4157">
      <w:pPr>
        <w:rPr>
          <w:lang w:val="en-GB" w:eastAsia="zh-CN"/>
        </w:rPr>
      </w:pPr>
      <w:r>
        <w:rPr>
          <w:lang w:val="en-GB" w:eastAsia="zh-CN"/>
        </w:rPr>
        <w:t xml:space="preserve">We are seeking feedback from stakeholders to inform </w:t>
      </w:r>
      <w:r w:rsidRPr="00684EDC">
        <w:rPr>
          <w:lang w:val="en-GB" w:eastAsia="zh-CN"/>
        </w:rPr>
        <w:t>our review</w:t>
      </w:r>
      <w:r>
        <w:rPr>
          <w:lang w:val="en-GB" w:eastAsia="zh-CN"/>
        </w:rPr>
        <w:t>, including perspectives on the key issues we have identified, and other information we should consider</w:t>
      </w:r>
      <w:r w:rsidRPr="00684EDC">
        <w:rPr>
          <w:lang w:val="en-GB" w:eastAsia="zh-CN"/>
        </w:rPr>
        <w:t xml:space="preserve">. </w:t>
      </w:r>
    </w:p>
    <w:p w14:paraId="39DABA48" w14:textId="788ACA09" w:rsidR="0010493C" w:rsidRDefault="0010493C" w:rsidP="001C4157">
      <w:r>
        <w:rPr>
          <w:lang w:val="en-GB" w:eastAsia="zh-CN"/>
        </w:rPr>
        <w:t xml:space="preserve">Submissions responding to our consultation paper should be made via Engage Victoria by </w:t>
      </w:r>
      <w:r w:rsidR="00D8330F" w:rsidRPr="004244BF">
        <w:t>15</w:t>
      </w:r>
      <w:r w:rsidRPr="004244BF">
        <w:t xml:space="preserve"> November 2024</w:t>
      </w:r>
      <w:r w:rsidRPr="00963774">
        <w:t>.</w:t>
      </w:r>
      <w:r>
        <w:t xml:space="preserve"> Box 1.2 </w:t>
      </w:r>
      <w:r w:rsidR="000F7C2C">
        <w:t xml:space="preserve">below </w:t>
      </w:r>
      <w:r>
        <w:t xml:space="preserve">sets out questions to guide feedback. Submissions will be published on the commission’s website, except for any information deemed commercially sensitive or confidential. This is in accordance with our </w:t>
      </w:r>
      <w:r w:rsidR="00CF4AF8">
        <w:t>s</w:t>
      </w:r>
      <w:r w:rsidRPr="00963774">
        <w:t xml:space="preserve">ubmissions </w:t>
      </w:r>
      <w:r w:rsidR="00CF4AF8">
        <w:t>p</w:t>
      </w:r>
      <w:r w:rsidRPr="00963774">
        <w:t>olicy.</w:t>
      </w:r>
      <w:r>
        <w:t xml:space="preserve"> Submissions should clearly identify which information you consider sensitive or confidential, and the basis for your reasons. </w:t>
      </w:r>
    </w:p>
    <w:p w14:paraId="5DB1CE2A" w14:textId="2BA0CC05" w:rsidR="00075D94" w:rsidRPr="00F62550" w:rsidRDefault="00075D94" w:rsidP="00F31EED">
      <w:pPr>
        <w:spacing w:before="120" w:after="120" w:line="360" w:lineRule="auto"/>
      </w:pPr>
      <w:r w:rsidRPr="00F62550">
        <w:rPr>
          <w:rFonts w:hint="cs"/>
        </w:rPr>
        <w:lastRenderedPageBreak/>
        <w:t>Alternatively, you may send comments by email</w:t>
      </w:r>
      <w:r w:rsidR="00333654" w:rsidRPr="00F62550">
        <w:t xml:space="preserve"> or</w:t>
      </w:r>
      <w:r w:rsidRPr="00F62550">
        <w:rPr>
          <w:rFonts w:hint="cs"/>
        </w:rPr>
        <w:t xml:space="preserve"> mail.</w:t>
      </w:r>
    </w:p>
    <w:p w14:paraId="093F14A7" w14:textId="77777777" w:rsidR="00075D94" w:rsidRPr="00F62550" w:rsidRDefault="00075D94" w:rsidP="000A7423">
      <w:pPr>
        <w:numPr>
          <w:ilvl w:val="0"/>
          <w:numId w:val="35"/>
        </w:numPr>
        <w:spacing w:before="0" w:after="0" w:line="276" w:lineRule="auto"/>
        <w:ind w:left="714" w:hanging="357"/>
      </w:pPr>
      <w:r w:rsidRPr="00F62550">
        <w:rPr>
          <w:rFonts w:hint="cs"/>
        </w:rPr>
        <w:t>Email: water@esc.vic.gov.au</w:t>
      </w:r>
    </w:p>
    <w:p w14:paraId="5407F3A7" w14:textId="77777777" w:rsidR="00075D94" w:rsidRPr="00F62550" w:rsidRDefault="00075D94" w:rsidP="000A7423">
      <w:pPr>
        <w:numPr>
          <w:ilvl w:val="0"/>
          <w:numId w:val="35"/>
        </w:numPr>
        <w:spacing w:before="0" w:after="0" w:line="276" w:lineRule="auto"/>
        <w:ind w:left="714" w:hanging="357"/>
      </w:pPr>
      <w:r w:rsidRPr="00F62550">
        <w:rPr>
          <w:rFonts w:hint="cs"/>
        </w:rPr>
        <w:t xml:space="preserve">Mail: The Water team, </w:t>
      </w:r>
      <w:proofErr w:type="spellStart"/>
      <w:r w:rsidRPr="00F62550">
        <w:rPr>
          <w:rFonts w:hint="cs"/>
        </w:rPr>
        <w:t>PMaR</w:t>
      </w:r>
      <w:proofErr w:type="spellEnd"/>
      <w:r w:rsidRPr="00F62550">
        <w:rPr>
          <w:rFonts w:hint="cs"/>
        </w:rPr>
        <w:t>, Essential Services Commission, Level 8, 570 Bourke Street, Melbourne Victoria 3000</w:t>
      </w:r>
    </w:p>
    <w:p w14:paraId="166BD4EF" w14:textId="256F228D" w:rsidR="001C4157" w:rsidRPr="001851B7" w:rsidRDefault="001C4157" w:rsidP="001C4157">
      <w:r>
        <w:rPr>
          <w:lang w:val="en-GB" w:eastAsia="zh-CN"/>
        </w:rPr>
        <w:t xml:space="preserve">To </w:t>
      </w:r>
      <w:r w:rsidR="00600B83">
        <w:rPr>
          <w:lang w:val="en-GB" w:eastAsia="zh-CN"/>
        </w:rPr>
        <w:t>help you prepare</w:t>
      </w:r>
      <w:r w:rsidR="005579BD">
        <w:rPr>
          <w:lang w:val="en-GB" w:eastAsia="zh-CN"/>
        </w:rPr>
        <w:t xml:space="preserve"> your</w:t>
      </w:r>
      <w:r>
        <w:rPr>
          <w:lang w:val="en-GB" w:eastAsia="zh-CN"/>
        </w:rPr>
        <w:t xml:space="preserve"> </w:t>
      </w:r>
      <w:r w:rsidRPr="00F07708">
        <w:rPr>
          <w:lang w:val="en-GB" w:eastAsia="zh-CN"/>
        </w:rPr>
        <w:t xml:space="preserve">feedback, </w:t>
      </w:r>
      <w:r w:rsidR="005946E2">
        <w:rPr>
          <w:lang w:val="en-GB" w:eastAsia="zh-CN"/>
        </w:rPr>
        <w:t>Chapter 2</w:t>
      </w:r>
      <w:r w:rsidRPr="00F07708">
        <w:rPr>
          <w:lang w:val="en-GB" w:eastAsia="zh-CN"/>
        </w:rPr>
        <w:t xml:space="preserve"> provides an overview of the legislative and regulatory framework applying to </w:t>
      </w:r>
      <w:r w:rsidR="005946E2">
        <w:rPr>
          <w:lang w:val="en-GB" w:eastAsia="zh-CN"/>
        </w:rPr>
        <w:t>NCC</w:t>
      </w:r>
      <w:r w:rsidRPr="00F07708">
        <w:rPr>
          <w:lang w:val="en-GB" w:eastAsia="zh-CN"/>
        </w:rPr>
        <w:t xml:space="preserve"> and our role</w:t>
      </w:r>
      <w:r w:rsidR="005946E2">
        <w:rPr>
          <w:lang w:val="en-GB" w:eastAsia="zh-CN"/>
        </w:rPr>
        <w:t xml:space="preserve">. Chapter 3 provides </w:t>
      </w:r>
      <w:r w:rsidRPr="00F07708">
        <w:rPr>
          <w:lang w:val="en-GB" w:eastAsia="zh-CN"/>
        </w:rPr>
        <w:t xml:space="preserve">an overview of the </w:t>
      </w:r>
      <w:r w:rsidR="00082F98">
        <w:rPr>
          <w:lang w:val="en-GB" w:eastAsia="zh-CN"/>
        </w:rPr>
        <w:t xml:space="preserve">flexibility available within the principles-based framework, and a brief </w:t>
      </w:r>
      <w:r w:rsidRPr="00F07708">
        <w:rPr>
          <w:lang w:val="en-GB" w:eastAsia="zh-CN"/>
        </w:rPr>
        <w:t xml:space="preserve">history of </w:t>
      </w:r>
      <w:r w:rsidR="001851B7">
        <w:rPr>
          <w:lang w:val="en-GB" w:eastAsia="zh-CN"/>
        </w:rPr>
        <w:t>NCC</w:t>
      </w:r>
      <w:r w:rsidRPr="00F07708">
        <w:rPr>
          <w:lang w:val="en-GB" w:eastAsia="zh-CN"/>
        </w:rPr>
        <w:t xml:space="preserve">. </w:t>
      </w:r>
      <w:r w:rsidR="005946E2">
        <w:t xml:space="preserve">Chapter 4 sets out what we see as good practice under the principles-based framework, with more detail on </w:t>
      </w:r>
      <w:r w:rsidR="001851B7">
        <w:t xml:space="preserve">implementation issues that arose </w:t>
      </w:r>
      <w:r w:rsidR="005946E2">
        <w:t xml:space="preserve">at the 2023 water price review provided in Chapter 5. </w:t>
      </w:r>
    </w:p>
    <w:p w14:paraId="33D54C1A" w14:textId="5917E957" w:rsidR="00AF015E" w:rsidRDefault="006A2222" w:rsidP="001C4157">
      <w:pPr>
        <w:rPr>
          <w:lang w:val="en-GB" w:eastAsia="zh-CN"/>
        </w:rPr>
      </w:pPr>
      <w:r>
        <w:rPr>
          <w:lang w:val="en-GB" w:eastAsia="zh-CN"/>
        </w:rPr>
        <w:t xml:space="preserve">We have also outlined in detail the economic principles supporting our </w:t>
      </w:r>
      <w:r w:rsidR="00050707">
        <w:rPr>
          <w:lang w:val="en-GB" w:eastAsia="zh-CN"/>
        </w:rPr>
        <w:t>NCC</w:t>
      </w:r>
      <w:r>
        <w:rPr>
          <w:lang w:val="en-GB" w:eastAsia="zh-CN"/>
        </w:rPr>
        <w:t xml:space="preserve"> framework in </w:t>
      </w:r>
      <w:r w:rsidR="00C01CCB">
        <w:rPr>
          <w:lang w:val="en-GB" w:eastAsia="zh-CN"/>
        </w:rPr>
        <w:t>A</w:t>
      </w:r>
      <w:r>
        <w:rPr>
          <w:lang w:val="en-GB" w:eastAsia="zh-CN"/>
        </w:rPr>
        <w:t>ppendix A</w:t>
      </w:r>
      <w:r w:rsidR="00FB11DF">
        <w:rPr>
          <w:lang w:val="en-GB" w:eastAsia="zh-CN"/>
        </w:rPr>
        <w:t xml:space="preserve"> – Technical </w:t>
      </w:r>
      <w:r w:rsidR="003D1FAC">
        <w:rPr>
          <w:lang w:val="en-GB" w:eastAsia="zh-CN"/>
        </w:rPr>
        <w:t>c</w:t>
      </w:r>
      <w:r w:rsidR="00FB11DF">
        <w:rPr>
          <w:lang w:val="en-GB" w:eastAsia="zh-CN"/>
        </w:rPr>
        <w:t>oncepts</w:t>
      </w:r>
      <w:r>
        <w:rPr>
          <w:lang w:val="en-GB" w:eastAsia="zh-CN"/>
        </w:rPr>
        <w:t xml:space="preserve">. </w:t>
      </w:r>
      <w:r w:rsidR="00A90281">
        <w:rPr>
          <w:lang w:val="en-GB" w:eastAsia="zh-CN"/>
        </w:rPr>
        <w:t>A</w:t>
      </w:r>
      <w:r>
        <w:rPr>
          <w:lang w:val="en-GB" w:eastAsia="zh-CN"/>
        </w:rPr>
        <w:t xml:space="preserve"> separate paper </w:t>
      </w:r>
      <w:r w:rsidR="001708DC">
        <w:rPr>
          <w:lang w:val="en-GB" w:eastAsia="zh-CN"/>
        </w:rPr>
        <w:t>“</w:t>
      </w:r>
      <w:r w:rsidR="00427EFC" w:rsidRPr="00427EFC">
        <w:rPr>
          <w:lang w:val="en-GB" w:eastAsia="zh-CN"/>
        </w:rPr>
        <w:t>Connection contributions frameworks in other regulatory regimes</w:t>
      </w:r>
      <w:r w:rsidR="001708DC">
        <w:rPr>
          <w:lang w:val="en-GB" w:eastAsia="zh-CN"/>
        </w:rPr>
        <w:t>” i</w:t>
      </w:r>
      <w:r w:rsidR="00A90281">
        <w:rPr>
          <w:lang w:val="en-GB" w:eastAsia="zh-CN"/>
        </w:rPr>
        <w:t>s p</w:t>
      </w:r>
      <w:r w:rsidR="00AB3E2F">
        <w:rPr>
          <w:lang w:val="en-GB" w:eastAsia="zh-CN"/>
        </w:rPr>
        <w:t>ublish</w:t>
      </w:r>
      <w:r w:rsidR="00A90281">
        <w:rPr>
          <w:lang w:val="en-GB" w:eastAsia="zh-CN"/>
        </w:rPr>
        <w:t xml:space="preserve">ed on our website </w:t>
      </w:r>
      <w:r w:rsidR="00D0302B">
        <w:rPr>
          <w:lang w:val="en-GB" w:eastAsia="zh-CN"/>
        </w:rPr>
        <w:t>which summarises</w:t>
      </w:r>
      <w:r w:rsidRPr="009768D6">
        <w:rPr>
          <w:lang w:val="en-GB" w:eastAsia="zh-CN"/>
        </w:rPr>
        <w:t xml:space="preserve"> connection frameworks</w:t>
      </w:r>
      <w:r w:rsidR="00D0302B">
        <w:rPr>
          <w:lang w:val="en-GB" w:eastAsia="zh-CN"/>
        </w:rPr>
        <w:t xml:space="preserve"> </w:t>
      </w:r>
      <w:r>
        <w:rPr>
          <w:lang w:val="en-GB" w:eastAsia="zh-CN"/>
        </w:rPr>
        <w:t>in other sectors or jurisdictions</w:t>
      </w:r>
      <w:r w:rsidR="00AF015E">
        <w:rPr>
          <w:lang w:val="en-GB" w:eastAsia="zh-CN"/>
        </w:rPr>
        <w:t xml:space="preserve">. This is intended to provide a single source of information for stakeholders </w:t>
      </w:r>
      <w:r w:rsidR="008E7C60">
        <w:rPr>
          <w:lang w:val="en-GB" w:eastAsia="zh-CN"/>
        </w:rPr>
        <w:t xml:space="preserve">to compare different </w:t>
      </w:r>
      <w:r w:rsidR="00470383">
        <w:rPr>
          <w:lang w:val="en-GB" w:eastAsia="zh-CN"/>
        </w:rPr>
        <w:t xml:space="preserve">connections </w:t>
      </w:r>
      <w:r w:rsidR="008E7C60">
        <w:rPr>
          <w:lang w:val="en-GB" w:eastAsia="zh-CN"/>
        </w:rPr>
        <w:t>frameworks</w:t>
      </w:r>
      <w:r w:rsidR="007A2B85">
        <w:rPr>
          <w:lang w:val="en-GB" w:eastAsia="zh-CN"/>
        </w:rPr>
        <w:t>.</w:t>
      </w:r>
    </w:p>
    <w:p w14:paraId="72025CBA" w14:textId="6D12EF9C" w:rsidR="001761AD" w:rsidRPr="00C549A7" w:rsidRDefault="001761AD" w:rsidP="00F55F5B">
      <w:pPr>
        <w:pStyle w:val="Figure-Table-BoxHeading"/>
        <w:spacing w:line="336" w:lineRule="auto"/>
        <w:ind w:left="1418" w:hanging="1418"/>
      </w:pPr>
      <w:r>
        <w:t>Box 1.</w:t>
      </w:r>
      <w:r w:rsidR="008647AC">
        <w:t>2</w:t>
      </w:r>
      <w:r>
        <w:tab/>
        <w:t>Q</w:t>
      </w:r>
      <w:r w:rsidRPr="00C549A7">
        <w:t xml:space="preserve">uestions for interested parties </w:t>
      </w:r>
    </w:p>
    <w:p w14:paraId="5FAC3AFD" w14:textId="77777777" w:rsidR="001761AD" w:rsidRDefault="001761AD" w:rsidP="001761AD">
      <w:pPr>
        <w:pStyle w:val="Pull-out"/>
        <w:rPr>
          <w:lang w:eastAsia="zh-CN"/>
        </w:rPr>
      </w:pPr>
      <w:r w:rsidRPr="000A4068">
        <w:rPr>
          <w:lang w:eastAsia="zh-CN"/>
        </w:rPr>
        <w:t xml:space="preserve">We are </w:t>
      </w:r>
      <w:r>
        <w:rPr>
          <w:lang w:eastAsia="zh-CN"/>
        </w:rPr>
        <w:t>seeking</w:t>
      </w:r>
      <w:r w:rsidRPr="000A4068">
        <w:rPr>
          <w:lang w:eastAsia="zh-CN"/>
        </w:rPr>
        <w:t xml:space="preserve"> views on</w:t>
      </w:r>
      <w:r>
        <w:rPr>
          <w:lang w:eastAsia="zh-CN"/>
        </w:rPr>
        <w:t xml:space="preserve"> the following questions</w:t>
      </w:r>
      <w:r w:rsidRPr="000A4068">
        <w:rPr>
          <w:lang w:eastAsia="zh-CN"/>
        </w:rPr>
        <w:t>:</w:t>
      </w:r>
    </w:p>
    <w:p w14:paraId="6D5FD9A5" w14:textId="190A2C24" w:rsidR="001761AD" w:rsidRDefault="001761AD" w:rsidP="001761AD">
      <w:pPr>
        <w:pStyle w:val="Pull-out"/>
        <w:ind w:left="718" w:hanging="520"/>
        <w:rPr>
          <w:lang w:eastAsia="zh-CN"/>
        </w:rPr>
      </w:pPr>
      <w:r>
        <w:rPr>
          <w:lang w:eastAsia="zh-CN"/>
        </w:rPr>
        <w:t>1.</w:t>
      </w:r>
      <w:r>
        <w:rPr>
          <w:lang w:eastAsia="zh-CN"/>
        </w:rPr>
        <w:tab/>
      </w:r>
      <w:r>
        <w:rPr>
          <w:lang w:eastAsia="zh-CN"/>
        </w:rPr>
        <w:tab/>
      </w:r>
      <w:r w:rsidRPr="001B152F">
        <w:rPr>
          <w:b/>
          <w:bCs/>
          <w:lang w:eastAsia="zh-CN"/>
        </w:rPr>
        <w:t>What are your perspectives on the matters identified by the commission at the 2023 water price review</w:t>
      </w:r>
      <w:r>
        <w:rPr>
          <w:b/>
          <w:bCs/>
          <w:lang w:eastAsia="zh-CN"/>
        </w:rPr>
        <w:t xml:space="preserve"> (</w:t>
      </w:r>
      <w:r w:rsidR="00C23B7E">
        <w:rPr>
          <w:b/>
          <w:bCs/>
          <w:lang w:eastAsia="zh-CN"/>
        </w:rPr>
        <w:t>see Chapter 5</w:t>
      </w:r>
      <w:r>
        <w:rPr>
          <w:b/>
          <w:bCs/>
          <w:lang w:eastAsia="zh-CN"/>
        </w:rPr>
        <w:t xml:space="preserve">)? </w:t>
      </w:r>
      <w:r w:rsidR="003D06CE">
        <w:rPr>
          <w:b/>
          <w:bCs/>
          <w:lang w:eastAsia="zh-CN"/>
        </w:rPr>
        <w:t xml:space="preserve">Are there other matters we should consider? </w:t>
      </w:r>
    </w:p>
    <w:p w14:paraId="70F43B3C" w14:textId="0E569F4B" w:rsidR="00B355AA" w:rsidRPr="00AB1C5C" w:rsidRDefault="006243DA" w:rsidP="00AB1C5C">
      <w:pPr>
        <w:pStyle w:val="Pull-out"/>
        <w:ind w:left="718" w:hanging="520"/>
        <w:rPr>
          <w:lang w:eastAsia="zh-CN"/>
        </w:rPr>
      </w:pPr>
      <w:r>
        <w:rPr>
          <w:lang w:eastAsia="zh-CN"/>
        </w:rPr>
        <w:t xml:space="preserve">2. </w:t>
      </w:r>
      <w:r>
        <w:rPr>
          <w:lang w:eastAsia="zh-CN"/>
        </w:rPr>
        <w:tab/>
      </w:r>
      <w:r w:rsidRPr="008E19AF">
        <w:rPr>
          <w:b/>
          <w:bCs/>
          <w:lang w:eastAsia="zh-CN"/>
        </w:rPr>
        <w:t xml:space="preserve">What changes should the commission consider in terms of the </w:t>
      </w:r>
      <w:r w:rsidR="000E6150">
        <w:rPr>
          <w:b/>
          <w:bCs/>
          <w:lang w:eastAsia="zh-CN"/>
        </w:rPr>
        <w:t>guidance</w:t>
      </w:r>
      <w:r w:rsidRPr="008E19AF">
        <w:rPr>
          <w:b/>
          <w:bCs/>
          <w:lang w:eastAsia="zh-CN"/>
        </w:rPr>
        <w:t xml:space="preserve"> we provide water businesses on </w:t>
      </w:r>
      <w:r w:rsidR="00090EBA">
        <w:rPr>
          <w:b/>
          <w:bCs/>
          <w:lang w:eastAsia="zh-CN"/>
        </w:rPr>
        <w:t>new</w:t>
      </w:r>
      <w:r w:rsidR="000B579D">
        <w:rPr>
          <w:b/>
          <w:bCs/>
          <w:lang w:eastAsia="zh-CN"/>
        </w:rPr>
        <w:t xml:space="preserve"> customer contributions</w:t>
      </w:r>
      <w:r w:rsidRPr="008E19AF">
        <w:rPr>
          <w:b/>
          <w:bCs/>
          <w:lang w:eastAsia="zh-CN"/>
        </w:rPr>
        <w:t>?</w:t>
      </w:r>
      <w:r>
        <w:rPr>
          <w:lang w:eastAsia="zh-CN"/>
        </w:rPr>
        <w:t xml:space="preserve"> </w:t>
      </w:r>
      <w:r w:rsidR="000C2EFA">
        <w:rPr>
          <w:lang w:eastAsia="zh-CN"/>
        </w:rPr>
        <w:br/>
      </w:r>
      <w:r>
        <w:rPr>
          <w:lang w:eastAsia="zh-CN"/>
        </w:rPr>
        <w:t xml:space="preserve">This might include the level of prescription in relation to the treatment of different costs or assets for the purposes of calculating </w:t>
      </w:r>
      <w:r w:rsidR="00F25CA0">
        <w:rPr>
          <w:lang w:eastAsia="zh-CN"/>
        </w:rPr>
        <w:t>NCC</w:t>
      </w:r>
      <w:r w:rsidR="000B579D">
        <w:rPr>
          <w:lang w:eastAsia="zh-CN"/>
        </w:rPr>
        <w:t>s</w:t>
      </w:r>
      <w:r>
        <w:rPr>
          <w:lang w:eastAsia="zh-CN"/>
        </w:rPr>
        <w:t xml:space="preserve">. </w:t>
      </w:r>
      <w:r w:rsidR="00DF2F4E">
        <w:rPr>
          <w:lang w:eastAsia="zh-CN"/>
        </w:rPr>
        <w:t>You may also wish to comment on the objectives for the framework we apply (</w:t>
      </w:r>
      <w:r w:rsidR="001603EF">
        <w:rPr>
          <w:lang w:eastAsia="zh-CN"/>
        </w:rPr>
        <w:t>listed above on</w:t>
      </w:r>
      <w:r w:rsidR="00DF2F4E">
        <w:rPr>
          <w:lang w:eastAsia="zh-CN"/>
        </w:rPr>
        <w:t xml:space="preserve"> page 1).</w:t>
      </w:r>
      <w:r>
        <w:rPr>
          <w:lang w:eastAsia="zh-CN"/>
        </w:rPr>
        <w:t xml:space="preserve"> </w:t>
      </w:r>
    </w:p>
    <w:p w14:paraId="4B073004" w14:textId="1483B9CA" w:rsidR="003062D3" w:rsidRDefault="003062D3" w:rsidP="00B355AA">
      <w:pPr>
        <w:pStyle w:val="Pull-out"/>
        <w:ind w:left="718" w:hanging="520"/>
        <w:rPr>
          <w:b/>
          <w:bCs/>
          <w:lang w:eastAsia="zh-CN"/>
        </w:rPr>
      </w:pPr>
      <w:r>
        <w:rPr>
          <w:lang w:eastAsia="zh-CN"/>
        </w:rPr>
        <w:t>3</w:t>
      </w:r>
      <w:r w:rsidR="00B355AA">
        <w:rPr>
          <w:lang w:eastAsia="zh-CN"/>
        </w:rPr>
        <w:t>.</w:t>
      </w:r>
      <w:r w:rsidR="00B355AA">
        <w:rPr>
          <w:lang w:eastAsia="zh-CN"/>
        </w:rPr>
        <w:tab/>
      </w:r>
      <w:r w:rsidR="00B355AA">
        <w:rPr>
          <w:lang w:eastAsia="zh-CN"/>
        </w:rPr>
        <w:tab/>
      </w:r>
      <w:r w:rsidRPr="00C76CC3">
        <w:rPr>
          <w:b/>
          <w:bCs/>
          <w:lang w:eastAsia="zh-CN"/>
        </w:rPr>
        <w:t xml:space="preserve">How do you think the commission can support connection applicants </w:t>
      </w:r>
      <w:r>
        <w:rPr>
          <w:b/>
          <w:bCs/>
          <w:lang w:eastAsia="zh-CN"/>
        </w:rPr>
        <w:t xml:space="preserve">and water businesses </w:t>
      </w:r>
      <w:r w:rsidRPr="00C76CC3">
        <w:rPr>
          <w:b/>
          <w:bCs/>
          <w:lang w:eastAsia="zh-CN"/>
        </w:rPr>
        <w:t xml:space="preserve">in their engagement on </w:t>
      </w:r>
      <w:r w:rsidR="00EC148A">
        <w:rPr>
          <w:b/>
          <w:bCs/>
          <w:lang w:eastAsia="zh-CN"/>
        </w:rPr>
        <w:t>new</w:t>
      </w:r>
      <w:r w:rsidR="000B579D">
        <w:rPr>
          <w:b/>
          <w:bCs/>
          <w:lang w:eastAsia="zh-CN"/>
        </w:rPr>
        <w:t xml:space="preserve"> customer contributions</w:t>
      </w:r>
      <w:r w:rsidRPr="00C76CC3">
        <w:rPr>
          <w:b/>
          <w:bCs/>
          <w:lang w:eastAsia="zh-CN"/>
        </w:rPr>
        <w:t>?</w:t>
      </w:r>
    </w:p>
    <w:p w14:paraId="5F01A2E4" w14:textId="32D67779" w:rsidR="00B355AA" w:rsidRDefault="00260972" w:rsidP="00B355AA">
      <w:pPr>
        <w:pStyle w:val="Pull-out"/>
        <w:ind w:left="718" w:hanging="520"/>
        <w:rPr>
          <w:lang w:eastAsia="zh-CN"/>
        </w:rPr>
      </w:pPr>
      <w:r>
        <w:rPr>
          <w:bCs/>
          <w:lang w:eastAsia="zh-CN"/>
        </w:rPr>
        <w:t>4</w:t>
      </w:r>
      <w:r w:rsidR="00B355AA" w:rsidRPr="00B51A1B">
        <w:rPr>
          <w:lang w:eastAsia="zh-CN"/>
        </w:rPr>
        <w:t>.</w:t>
      </w:r>
      <w:r w:rsidR="003062D3">
        <w:rPr>
          <w:b/>
          <w:bCs/>
          <w:lang w:eastAsia="zh-CN"/>
        </w:rPr>
        <w:t xml:space="preserve"> </w:t>
      </w:r>
      <w:r w:rsidR="00495982">
        <w:rPr>
          <w:b/>
          <w:bCs/>
          <w:lang w:eastAsia="zh-CN"/>
        </w:rPr>
        <w:tab/>
      </w:r>
      <w:r w:rsidR="00B355AA">
        <w:rPr>
          <w:b/>
          <w:bCs/>
          <w:lang w:eastAsia="zh-CN"/>
        </w:rPr>
        <w:t xml:space="preserve">Are there other </w:t>
      </w:r>
      <w:r w:rsidR="00B355AA" w:rsidRPr="001B152F">
        <w:rPr>
          <w:b/>
          <w:bCs/>
          <w:lang w:eastAsia="zh-CN"/>
        </w:rPr>
        <w:t xml:space="preserve">issues </w:t>
      </w:r>
      <w:r w:rsidR="00B355AA">
        <w:rPr>
          <w:b/>
          <w:bCs/>
          <w:lang w:eastAsia="zh-CN"/>
        </w:rPr>
        <w:t xml:space="preserve">or information </w:t>
      </w:r>
      <w:r w:rsidR="00B355AA" w:rsidRPr="001B152F">
        <w:rPr>
          <w:b/>
          <w:bCs/>
          <w:lang w:eastAsia="zh-CN"/>
        </w:rPr>
        <w:t xml:space="preserve">we should consider during our review, having regard to the commission’s role in </w:t>
      </w:r>
      <w:r w:rsidR="00EC148A">
        <w:rPr>
          <w:b/>
          <w:bCs/>
          <w:lang w:eastAsia="zh-CN"/>
        </w:rPr>
        <w:t>new</w:t>
      </w:r>
      <w:r w:rsidR="000B579D">
        <w:rPr>
          <w:b/>
          <w:bCs/>
          <w:lang w:eastAsia="zh-CN"/>
        </w:rPr>
        <w:t xml:space="preserve"> customer contributions</w:t>
      </w:r>
      <w:r w:rsidR="00B355AA" w:rsidRPr="001B152F">
        <w:rPr>
          <w:b/>
          <w:bCs/>
          <w:lang w:eastAsia="zh-CN"/>
        </w:rPr>
        <w:t>?</w:t>
      </w:r>
      <w:r w:rsidR="00B355AA">
        <w:rPr>
          <w:lang w:eastAsia="zh-CN"/>
        </w:rPr>
        <w:t xml:space="preserve"> </w:t>
      </w:r>
      <w:r w:rsidR="00B674AC">
        <w:rPr>
          <w:lang w:eastAsia="zh-CN"/>
        </w:rPr>
        <w:br/>
      </w:r>
      <w:r w:rsidR="00B355AA">
        <w:rPr>
          <w:lang w:eastAsia="zh-CN"/>
        </w:rPr>
        <w:t xml:space="preserve">We are interested in matters or information the commission should be aware of from a policy, industry or community perspective that might inform our review. </w:t>
      </w:r>
    </w:p>
    <w:p w14:paraId="4981213C" w14:textId="6F73BEAE" w:rsidR="007B6F6D" w:rsidRDefault="00260972" w:rsidP="00B355AA">
      <w:pPr>
        <w:pStyle w:val="Pull-out"/>
        <w:ind w:left="718" w:hanging="520"/>
        <w:rPr>
          <w:lang w:eastAsia="zh-CN"/>
        </w:rPr>
      </w:pPr>
      <w:r>
        <w:rPr>
          <w:lang w:eastAsia="zh-CN"/>
        </w:rPr>
        <w:t>5</w:t>
      </w:r>
      <w:r w:rsidR="00B355AA">
        <w:rPr>
          <w:lang w:eastAsia="zh-CN"/>
        </w:rPr>
        <w:t>.</w:t>
      </w:r>
      <w:r w:rsidR="00B355AA">
        <w:rPr>
          <w:lang w:eastAsia="zh-CN"/>
        </w:rPr>
        <w:tab/>
      </w:r>
      <w:r w:rsidR="007B6F6D" w:rsidRPr="007B6F6D">
        <w:rPr>
          <w:b/>
          <w:bCs/>
          <w:lang w:eastAsia="zh-CN"/>
        </w:rPr>
        <w:t>What are your views on a change in terminology from our current use of ‘new customer contributions’ to an alternative such as ‘developer charges’?</w:t>
      </w:r>
      <w:r w:rsidR="007B6F6D">
        <w:rPr>
          <w:lang w:eastAsia="zh-CN"/>
        </w:rPr>
        <w:t xml:space="preserve"> </w:t>
      </w:r>
    </w:p>
    <w:p w14:paraId="5CD2EAA7" w14:textId="6AC5E8C5" w:rsidR="00B355AA" w:rsidRDefault="00260972" w:rsidP="00F576AA">
      <w:pPr>
        <w:pStyle w:val="Pull-out"/>
        <w:ind w:left="709" w:hanging="511"/>
        <w:rPr>
          <w:lang w:eastAsia="zh-CN"/>
        </w:rPr>
      </w:pPr>
      <w:r>
        <w:rPr>
          <w:lang w:eastAsia="zh-CN"/>
        </w:rPr>
        <w:t>6</w:t>
      </w:r>
      <w:r w:rsidR="00B355AA">
        <w:rPr>
          <w:lang w:eastAsia="zh-CN"/>
        </w:rPr>
        <w:t>.</w:t>
      </w:r>
      <w:r w:rsidR="00B355AA">
        <w:rPr>
          <w:lang w:eastAsia="zh-CN"/>
        </w:rPr>
        <w:tab/>
      </w:r>
      <w:r w:rsidR="00B355AA" w:rsidRPr="006604B2">
        <w:rPr>
          <w:b/>
          <w:bCs/>
          <w:lang w:eastAsia="zh-CN"/>
        </w:rPr>
        <w:t>Any other relevant matters</w:t>
      </w:r>
      <w:r w:rsidR="00B355AA">
        <w:rPr>
          <w:lang w:eastAsia="zh-CN"/>
        </w:rPr>
        <w:t>.</w:t>
      </w:r>
    </w:p>
    <w:p w14:paraId="0DD99685" w14:textId="77777777" w:rsidR="00063A53" w:rsidRDefault="00B84CB7" w:rsidP="0087485B">
      <w:pPr>
        <w:spacing w:before="240" w:after="0" w:line="360" w:lineRule="auto"/>
      </w:pPr>
      <w:r>
        <w:rPr>
          <w:lang w:val="en-GB" w:eastAsia="zh-CN"/>
        </w:rPr>
        <w:lastRenderedPageBreak/>
        <w:t xml:space="preserve">During our review, </w:t>
      </w:r>
      <w:r w:rsidR="008564A5" w:rsidRPr="008564A5">
        <w:rPr>
          <w:lang w:val="en-GB" w:eastAsia="zh-CN"/>
        </w:rPr>
        <w:t xml:space="preserve">we will </w:t>
      </w:r>
      <w:r w:rsidR="00DF0053">
        <w:rPr>
          <w:lang w:val="en-GB" w:eastAsia="zh-CN"/>
        </w:rPr>
        <w:t>engage</w:t>
      </w:r>
      <w:r w:rsidR="008564A5" w:rsidRPr="008564A5">
        <w:rPr>
          <w:lang w:val="en-GB" w:eastAsia="zh-CN"/>
        </w:rPr>
        <w:t xml:space="preserve"> extensively with stakeholders.</w:t>
      </w:r>
      <w:r w:rsidR="002928AE">
        <w:rPr>
          <w:lang w:val="en-GB" w:eastAsia="zh-CN"/>
        </w:rPr>
        <w:t xml:space="preserve"> </w:t>
      </w:r>
      <w:r w:rsidR="005F3C0E">
        <w:t>Our engagement approach will evolve depending on the issues that are raised during our review</w:t>
      </w:r>
      <w:r w:rsidR="001C212E">
        <w:t xml:space="preserve">. </w:t>
      </w:r>
      <w:r w:rsidR="00F64B1E">
        <w:t xml:space="preserve">However, we anticipate issuing additional papers </w:t>
      </w:r>
      <w:r w:rsidR="00284814">
        <w:t>and hold</w:t>
      </w:r>
      <w:r w:rsidR="008F1550">
        <w:t>ing</w:t>
      </w:r>
      <w:r w:rsidR="00284814">
        <w:t xml:space="preserve"> workshops and forums to progress specific issues. </w:t>
      </w:r>
      <w:r w:rsidR="00931575">
        <w:t xml:space="preserve">We </w:t>
      </w:r>
      <w:r w:rsidR="00CC6565">
        <w:t xml:space="preserve">will </w:t>
      </w:r>
      <w:r w:rsidR="007E52FB">
        <w:t xml:space="preserve">also </w:t>
      </w:r>
      <w:r w:rsidR="00931575">
        <w:t>meet with individual stakeholders to discuss feedback</w:t>
      </w:r>
      <w:r w:rsidR="00284814">
        <w:t>.</w:t>
      </w:r>
      <w:r w:rsidR="00E23886">
        <w:t xml:space="preserve"> </w:t>
      </w:r>
    </w:p>
    <w:p w14:paraId="6BEBB5E9" w14:textId="11A1F8FC" w:rsidR="00696C13" w:rsidRDefault="00E23886" w:rsidP="0087485B">
      <w:pPr>
        <w:spacing w:before="240" w:after="0" w:line="360" w:lineRule="auto"/>
      </w:pPr>
      <w:r>
        <w:t xml:space="preserve">You can contact </w:t>
      </w:r>
      <w:hyperlink r:id="rId22" w:history="1">
        <w:r w:rsidRPr="006B4B21">
          <w:rPr>
            <w:rStyle w:val="Hyperlink"/>
          </w:rPr>
          <w:t>water@esc.vic.gov.au</w:t>
        </w:r>
      </w:hyperlink>
      <w:r>
        <w:t xml:space="preserve"> for more information.</w:t>
      </w:r>
    </w:p>
    <w:p w14:paraId="1F681303" w14:textId="3E42C4CF" w:rsidR="00990EF7" w:rsidRPr="004467AE" w:rsidRDefault="00CC2754" w:rsidP="00990EF7">
      <w:r>
        <w:t xml:space="preserve">Below, we summarise </w:t>
      </w:r>
      <w:r w:rsidR="00990EF7" w:rsidRPr="004467AE">
        <w:t xml:space="preserve">the key milestones in our review and indicative dates. </w:t>
      </w:r>
    </w:p>
    <w:tbl>
      <w:tblPr>
        <w:tblStyle w:val="TableGrid"/>
        <w:tblW w:w="0" w:type="auto"/>
        <w:tblLook w:val="04A0" w:firstRow="1" w:lastRow="0" w:firstColumn="1" w:lastColumn="0" w:noHBand="0" w:noVBand="1"/>
      </w:tblPr>
      <w:tblGrid>
        <w:gridCol w:w="5812"/>
        <w:gridCol w:w="3213"/>
      </w:tblGrid>
      <w:tr w:rsidR="00990EF7" w:rsidRPr="004467AE" w14:paraId="0CACF568" w14:textId="77777777">
        <w:trPr>
          <w:cnfStyle w:val="100000000000" w:firstRow="1" w:lastRow="0" w:firstColumn="0" w:lastColumn="0" w:oddVBand="0" w:evenVBand="0" w:oddHBand="0" w:evenHBand="0" w:firstRowFirstColumn="0" w:firstRowLastColumn="0" w:lastRowFirstColumn="0" w:lastRowLastColumn="0"/>
        </w:trPr>
        <w:tc>
          <w:tcPr>
            <w:tcW w:w="5812" w:type="dxa"/>
          </w:tcPr>
          <w:bookmarkEnd w:id="17"/>
          <w:p w14:paraId="10DAA7DD" w14:textId="77777777" w:rsidR="00990EF7" w:rsidRPr="004467AE" w:rsidRDefault="00990EF7">
            <w:pPr>
              <w:pStyle w:val="TableBody"/>
              <w:keepNext/>
              <w:keepLines/>
            </w:pPr>
            <w:r w:rsidRPr="004467AE">
              <w:t>Indicative activity</w:t>
            </w:r>
          </w:p>
        </w:tc>
        <w:tc>
          <w:tcPr>
            <w:tcW w:w="3213" w:type="dxa"/>
          </w:tcPr>
          <w:p w14:paraId="2F668FF2" w14:textId="77777777" w:rsidR="00990EF7" w:rsidRPr="004467AE" w:rsidRDefault="00990EF7">
            <w:pPr>
              <w:pStyle w:val="TableBody"/>
              <w:keepNext/>
              <w:keepLines/>
            </w:pPr>
            <w:r w:rsidRPr="004467AE">
              <w:t>Indicative date</w:t>
            </w:r>
          </w:p>
        </w:tc>
      </w:tr>
      <w:tr w:rsidR="00990EF7" w:rsidRPr="004467AE" w14:paraId="71E9FD5B" w14:textId="77777777">
        <w:trPr>
          <w:cnfStyle w:val="000000100000" w:firstRow="0" w:lastRow="0" w:firstColumn="0" w:lastColumn="0" w:oddVBand="0" w:evenVBand="0" w:oddHBand="1" w:evenHBand="0" w:firstRowFirstColumn="0" w:firstRowLastColumn="0" w:lastRowFirstColumn="0" w:lastRowLastColumn="0"/>
        </w:trPr>
        <w:tc>
          <w:tcPr>
            <w:tcW w:w="5812" w:type="dxa"/>
          </w:tcPr>
          <w:p w14:paraId="624F5CFD" w14:textId="4A9A6AC5" w:rsidR="00990EF7" w:rsidRPr="004467AE" w:rsidRDefault="00990EF7" w:rsidP="00D61C70">
            <w:pPr>
              <w:pStyle w:val="TableBody"/>
              <w:keepNext/>
              <w:keepLines/>
              <w:spacing w:before="60" w:after="60"/>
            </w:pPr>
            <w:r w:rsidRPr="004467AE">
              <w:t>Release of consultation paper</w:t>
            </w:r>
          </w:p>
        </w:tc>
        <w:tc>
          <w:tcPr>
            <w:tcW w:w="3213" w:type="dxa"/>
          </w:tcPr>
          <w:p w14:paraId="19AF3752" w14:textId="4CE442C2" w:rsidR="00990EF7" w:rsidRPr="000416BA" w:rsidRDefault="001603EF" w:rsidP="00D61C70">
            <w:pPr>
              <w:pStyle w:val="TableBody"/>
              <w:keepNext/>
              <w:keepLines/>
              <w:spacing w:before="60" w:after="60"/>
              <w:rPr>
                <w:highlight w:val="yellow"/>
              </w:rPr>
            </w:pPr>
            <w:r w:rsidRPr="00E7444B">
              <w:t>15</w:t>
            </w:r>
            <w:r w:rsidR="00521D88" w:rsidRPr="00E7444B">
              <w:t xml:space="preserve"> </w:t>
            </w:r>
            <w:r w:rsidR="00D94425" w:rsidRPr="00E7444B">
              <w:t>August</w:t>
            </w:r>
            <w:r w:rsidR="00990EF7" w:rsidRPr="00E7444B">
              <w:t xml:space="preserve"> 2024</w:t>
            </w:r>
          </w:p>
        </w:tc>
      </w:tr>
      <w:tr w:rsidR="00990EF7" w:rsidRPr="004467AE" w14:paraId="0A0B4276" w14:textId="77777777">
        <w:trPr>
          <w:cnfStyle w:val="000000010000" w:firstRow="0" w:lastRow="0" w:firstColumn="0" w:lastColumn="0" w:oddVBand="0" w:evenVBand="0" w:oddHBand="0" w:evenHBand="1" w:firstRowFirstColumn="0" w:firstRowLastColumn="0" w:lastRowFirstColumn="0" w:lastRowLastColumn="0"/>
        </w:trPr>
        <w:tc>
          <w:tcPr>
            <w:tcW w:w="5812" w:type="dxa"/>
          </w:tcPr>
          <w:p w14:paraId="38A99195" w14:textId="72EFEFB2" w:rsidR="00990EF7" w:rsidRPr="004467AE" w:rsidRDefault="00824FF3" w:rsidP="00D61C70">
            <w:pPr>
              <w:pStyle w:val="TableBody"/>
              <w:spacing w:before="60" w:after="60"/>
            </w:pPr>
            <w:r w:rsidRPr="004467AE">
              <w:t>O</w:t>
            </w:r>
            <w:r w:rsidR="00990EF7" w:rsidRPr="004467AE">
              <w:t xml:space="preserve">ne-on-one meetings </w:t>
            </w:r>
            <w:r w:rsidR="00FF0422">
              <w:t>with</w:t>
            </w:r>
            <w:r w:rsidR="00990EF7" w:rsidRPr="004467AE">
              <w:t xml:space="preserve"> stakeholders about our review</w:t>
            </w:r>
            <w:r w:rsidR="00A57527" w:rsidRPr="004467AE">
              <w:t xml:space="preserve"> and</w:t>
            </w:r>
            <w:r w:rsidR="00990EF7" w:rsidRPr="004467AE">
              <w:t xml:space="preserve"> build our understanding of key issues</w:t>
            </w:r>
          </w:p>
        </w:tc>
        <w:tc>
          <w:tcPr>
            <w:tcW w:w="3213" w:type="dxa"/>
          </w:tcPr>
          <w:p w14:paraId="5C42CEFA" w14:textId="5B402543" w:rsidR="00990EF7" w:rsidRPr="004467AE" w:rsidRDefault="001603EF" w:rsidP="00D61C70">
            <w:pPr>
              <w:pStyle w:val="TableBody"/>
              <w:spacing w:before="60" w:after="60"/>
            </w:pPr>
            <w:r>
              <w:t>September</w:t>
            </w:r>
            <w:r w:rsidR="00990EF7" w:rsidRPr="004467AE">
              <w:t xml:space="preserve"> – October 2024</w:t>
            </w:r>
          </w:p>
        </w:tc>
      </w:tr>
      <w:tr w:rsidR="00990EF7" w:rsidRPr="004467AE" w14:paraId="4F7C4020" w14:textId="77777777">
        <w:trPr>
          <w:cnfStyle w:val="000000100000" w:firstRow="0" w:lastRow="0" w:firstColumn="0" w:lastColumn="0" w:oddVBand="0" w:evenVBand="0" w:oddHBand="1" w:evenHBand="0" w:firstRowFirstColumn="0" w:firstRowLastColumn="0" w:lastRowFirstColumn="0" w:lastRowLastColumn="0"/>
        </w:trPr>
        <w:tc>
          <w:tcPr>
            <w:tcW w:w="5812" w:type="dxa"/>
          </w:tcPr>
          <w:p w14:paraId="6D016316" w14:textId="0EF53966" w:rsidR="00990EF7" w:rsidRPr="004467AE" w:rsidRDefault="00990EF7" w:rsidP="00D61C70">
            <w:pPr>
              <w:pStyle w:val="TableBody"/>
              <w:spacing w:before="60" w:after="60"/>
            </w:pPr>
            <w:r w:rsidRPr="004467AE">
              <w:t>Due date for submissions on the consultation paper</w:t>
            </w:r>
          </w:p>
        </w:tc>
        <w:tc>
          <w:tcPr>
            <w:tcW w:w="3213" w:type="dxa"/>
          </w:tcPr>
          <w:p w14:paraId="69432200" w14:textId="035AAB5C" w:rsidR="00990EF7" w:rsidRPr="00E7444B" w:rsidRDefault="000A4BE2" w:rsidP="00D61C70">
            <w:pPr>
              <w:pStyle w:val="TableBody"/>
              <w:spacing w:before="60" w:after="60"/>
            </w:pPr>
            <w:r w:rsidRPr="00E7444B">
              <w:t>15</w:t>
            </w:r>
            <w:r w:rsidR="00570F99" w:rsidRPr="00E7444B">
              <w:t xml:space="preserve"> November</w:t>
            </w:r>
            <w:r w:rsidR="008B522D" w:rsidRPr="00E7444B">
              <w:t xml:space="preserve"> </w:t>
            </w:r>
            <w:r w:rsidR="00990EF7" w:rsidRPr="00E7444B">
              <w:t>2024</w:t>
            </w:r>
          </w:p>
        </w:tc>
      </w:tr>
      <w:tr w:rsidR="00990EF7" w:rsidRPr="00B42044" w14:paraId="2D97B601" w14:textId="77777777">
        <w:trPr>
          <w:cnfStyle w:val="000000010000" w:firstRow="0" w:lastRow="0" w:firstColumn="0" w:lastColumn="0" w:oddVBand="0" w:evenVBand="0" w:oddHBand="0" w:evenHBand="1" w:firstRowFirstColumn="0" w:firstRowLastColumn="0" w:lastRowFirstColumn="0" w:lastRowLastColumn="0"/>
        </w:trPr>
        <w:tc>
          <w:tcPr>
            <w:tcW w:w="5812" w:type="dxa"/>
          </w:tcPr>
          <w:p w14:paraId="69B237EB" w14:textId="77777777" w:rsidR="00990EF7" w:rsidRDefault="002C7DFF" w:rsidP="00D61C70">
            <w:pPr>
              <w:spacing w:before="60" w:after="60" w:line="259" w:lineRule="auto"/>
              <w:rPr>
                <w:lang w:val="en-US"/>
              </w:rPr>
            </w:pPr>
            <w:r>
              <w:rPr>
                <w:lang w:val="en-US"/>
              </w:rPr>
              <w:t>A</w:t>
            </w:r>
            <w:r w:rsidR="003C307E">
              <w:rPr>
                <w:lang w:val="en-US"/>
              </w:rPr>
              <w:t xml:space="preserve">dditional targeted consultation on key issues identified through initial consultation </w:t>
            </w:r>
            <w:r>
              <w:rPr>
                <w:lang w:val="en-US"/>
              </w:rPr>
              <w:t>(details to be confirmed)</w:t>
            </w:r>
          </w:p>
          <w:p w14:paraId="4C57FD77" w14:textId="536DCDF5" w:rsidR="002277CD" w:rsidRPr="002277CD" w:rsidRDefault="002277CD" w:rsidP="000A7423">
            <w:pPr>
              <w:pStyle w:val="ListParagraph"/>
              <w:numPr>
                <w:ilvl w:val="0"/>
                <w:numId w:val="34"/>
              </w:numPr>
              <w:spacing w:before="60" w:after="60" w:line="259" w:lineRule="auto"/>
              <w:rPr>
                <w:lang w:val="en-US"/>
              </w:rPr>
            </w:pPr>
            <w:r>
              <w:rPr>
                <w:lang w:val="en-US"/>
              </w:rPr>
              <w:t>training of the water sector</w:t>
            </w:r>
          </w:p>
        </w:tc>
        <w:tc>
          <w:tcPr>
            <w:tcW w:w="3213" w:type="dxa"/>
          </w:tcPr>
          <w:p w14:paraId="66A39BAA" w14:textId="77777777" w:rsidR="00990EF7" w:rsidRPr="00B42044" w:rsidRDefault="00990EF7" w:rsidP="00D61C70">
            <w:pPr>
              <w:pStyle w:val="TableBody"/>
              <w:spacing w:before="60" w:after="60"/>
            </w:pPr>
            <w:r w:rsidRPr="004467AE">
              <w:t>During 2025</w:t>
            </w:r>
          </w:p>
        </w:tc>
      </w:tr>
      <w:tr w:rsidR="003C307E" w:rsidRPr="00B42044" w14:paraId="59C9A50A" w14:textId="77777777">
        <w:trPr>
          <w:cnfStyle w:val="000000100000" w:firstRow="0" w:lastRow="0" w:firstColumn="0" w:lastColumn="0" w:oddVBand="0" w:evenVBand="0" w:oddHBand="1" w:evenHBand="0" w:firstRowFirstColumn="0" w:firstRowLastColumn="0" w:lastRowFirstColumn="0" w:lastRowLastColumn="0"/>
        </w:trPr>
        <w:tc>
          <w:tcPr>
            <w:tcW w:w="5812" w:type="dxa"/>
          </w:tcPr>
          <w:p w14:paraId="562911AC" w14:textId="1299BEE9" w:rsidR="003C307E" w:rsidRDefault="003C307E" w:rsidP="00D61C70">
            <w:pPr>
              <w:spacing w:before="60" w:after="60" w:line="259" w:lineRule="auto"/>
              <w:rPr>
                <w:lang w:val="en-US"/>
              </w:rPr>
            </w:pPr>
            <w:r>
              <w:rPr>
                <w:lang w:val="en-US"/>
              </w:rPr>
              <w:t>Guidance for 2028 water price review</w:t>
            </w:r>
          </w:p>
        </w:tc>
        <w:tc>
          <w:tcPr>
            <w:tcW w:w="3213" w:type="dxa"/>
          </w:tcPr>
          <w:p w14:paraId="0097C769" w14:textId="3CC5B9BE" w:rsidR="003C307E" w:rsidRPr="004467AE" w:rsidRDefault="003C307E" w:rsidP="00D61C70">
            <w:pPr>
              <w:pStyle w:val="TableBody"/>
              <w:spacing w:before="60" w:after="60"/>
            </w:pPr>
            <w:r>
              <w:t>Mid</w:t>
            </w:r>
            <w:r w:rsidR="00011DAB">
              <w:t xml:space="preserve"> 2026</w:t>
            </w:r>
          </w:p>
        </w:tc>
      </w:tr>
    </w:tbl>
    <w:p w14:paraId="63162060" w14:textId="77777777" w:rsidR="00C329B4" w:rsidRDefault="00C329B4" w:rsidP="00C549A7">
      <w:pPr>
        <w:pStyle w:val="Figure-Table-BoxHeading"/>
        <w:ind w:left="0" w:firstLine="0"/>
      </w:pPr>
    </w:p>
    <w:p w14:paraId="1BE660F9" w14:textId="77777777" w:rsidR="00FE1629" w:rsidRDefault="00FE1629" w:rsidP="00FA2B6F">
      <w:pPr>
        <w:pStyle w:val="Figure-Table-BoxHeading"/>
        <w:ind w:left="0" w:firstLine="0"/>
        <w:rPr>
          <w:lang w:eastAsia="zh-CN"/>
        </w:rPr>
        <w:sectPr w:rsidR="00FE1629" w:rsidSect="00DE6558">
          <w:footerReference w:type="default" r:id="rId23"/>
          <w:pgSz w:w="11906" w:h="16838" w:code="9"/>
          <w:pgMar w:top="1134" w:right="1134" w:bottom="1134" w:left="1134" w:header="709" w:footer="692" w:gutter="0"/>
          <w:pgNumType w:start="1"/>
          <w:cols w:space="708"/>
          <w:docGrid w:linePitch="360"/>
        </w:sectPr>
      </w:pPr>
    </w:p>
    <w:p w14:paraId="3EF6EFFD" w14:textId="7C8E8C31" w:rsidR="00274302" w:rsidRDefault="00501087" w:rsidP="0095150F">
      <w:pPr>
        <w:pStyle w:val="Heading1numbered"/>
        <w:ind w:left="0" w:firstLine="0"/>
      </w:pPr>
      <w:bookmarkStart w:id="19" w:name="_Toc174348950"/>
      <w:r>
        <w:lastRenderedPageBreak/>
        <w:t>New</w:t>
      </w:r>
      <w:r w:rsidR="000B579D">
        <w:t xml:space="preserve"> customer contributions</w:t>
      </w:r>
      <w:r w:rsidR="00383C5B">
        <w:t xml:space="preserve"> and the regulatory framework</w:t>
      </w:r>
      <w:bookmarkEnd w:id="19"/>
    </w:p>
    <w:p w14:paraId="4ED96A44" w14:textId="5B79F988" w:rsidR="00686E55" w:rsidRDefault="00D53BA4" w:rsidP="00686E55">
      <w:r>
        <w:t>The commission</w:t>
      </w:r>
      <w:r w:rsidR="005B32A8">
        <w:t xml:space="preserve"> </w:t>
      </w:r>
      <w:r w:rsidR="00E5014E">
        <w:t>regulates</w:t>
      </w:r>
      <w:r w:rsidR="005B32A8">
        <w:t xml:space="preserve"> new customer contributions </w:t>
      </w:r>
      <w:r w:rsidR="00F61317">
        <w:t xml:space="preserve">(NCCs) in our </w:t>
      </w:r>
      <w:r w:rsidR="005B32A8">
        <w:t xml:space="preserve">role as the economic regulator of Victoria’s water sector. </w:t>
      </w:r>
      <w:r w:rsidR="009715BA">
        <w:t>This section provides an overview of the overarching economic regulatory framework</w:t>
      </w:r>
      <w:r w:rsidR="002B362C">
        <w:t xml:space="preserve"> which </w:t>
      </w:r>
      <w:r w:rsidR="00B05A0C">
        <w:t>sets out</w:t>
      </w:r>
      <w:r w:rsidR="00C1764F">
        <w:t xml:space="preserve"> </w:t>
      </w:r>
      <w:r w:rsidR="002B362C">
        <w:t>the commission’s role</w:t>
      </w:r>
      <w:r w:rsidR="009715BA">
        <w:t>, and</w:t>
      </w:r>
      <w:r w:rsidR="006D3502">
        <w:t xml:space="preserve"> </w:t>
      </w:r>
      <w:r w:rsidR="009715BA">
        <w:t xml:space="preserve">the </w:t>
      </w:r>
      <w:r w:rsidR="006731B1">
        <w:t>NCC</w:t>
      </w:r>
      <w:r w:rsidR="009715BA">
        <w:t xml:space="preserve"> framework </w:t>
      </w:r>
      <w:r w:rsidR="006D3502">
        <w:t>established by the commission</w:t>
      </w:r>
      <w:r w:rsidR="008104AC">
        <w:t>.</w:t>
      </w:r>
    </w:p>
    <w:p w14:paraId="54E4C9AD" w14:textId="09BE9625" w:rsidR="0054120A" w:rsidRDefault="0054120A" w:rsidP="006F663F">
      <w:pPr>
        <w:pStyle w:val="Heading2"/>
      </w:pPr>
      <w:bookmarkStart w:id="20" w:name="_Toc173487060"/>
      <w:bookmarkStart w:id="21" w:name="_Toc174348951"/>
      <w:r w:rsidRPr="0059321E">
        <w:t>Overarching economic regulatory framework</w:t>
      </w:r>
      <w:bookmarkEnd w:id="20"/>
      <w:bookmarkEnd w:id="21"/>
    </w:p>
    <w:p w14:paraId="55A76D36" w14:textId="2361C91D" w:rsidR="00010EC4" w:rsidRDefault="00010EC4" w:rsidP="00686E55">
      <w:r>
        <w:t xml:space="preserve">Three </w:t>
      </w:r>
      <w:r w:rsidR="00436711">
        <w:t>legislative</w:t>
      </w:r>
      <w:r>
        <w:t xml:space="preserve"> instruments set out the </w:t>
      </w:r>
      <w:r w:rsidR="00560282">
        <w:t xml:space="preserve">overarching </w:t>
      </w:r>
      <w:r>
        <w:t>economic regulatory framework</w:t>
      </w:r>
      <w:r w:rsidR="006D3502">
        <w:t xml:space="preserve"> in which the commission operates</w:t>
      </w:r>
      <w:r w:rsidR="00801001">
        <w:t xml:space="preserve"> (see blue shaded area in Figure 2.1)</w:t>
      </w:r>
      <w:r w:rsidR="006D3502">
        <w:t>.</w:t>
      </w:r>
      <w:r w:rsidR="00330F1B">
        <w:t xml:space="preserve"> </w:t>
      </w:r>
      <w:r w:rsidR="00A07167">
        <w:t xml:space="preserve">A short </w:t>
      </w:r>
      <w:r w:rsidR="005770EB">
        <w:t>overview</w:t>
      </w:r>
      <w:r w:rsidR="00A07167">
        <w:t xml:space="preserve"> of </w:t>
      </w:r>
      <w:r w:rsidR="005770EB">
        <w:t xml:space="preserve">the key </w:t>
      </w:r>
      <w:r w:rsidR="000E4297">
        <w:t>provisions</w:t>
      </w:r>
      <w:r w:rsidR="00C16B4B">
        <w:t xml:space="preserve"> </w:t>
      </w:r>
      <w:r w:rsidR="005770EB">
        <w:t xml:space="preserve">of these instruments is provided </w:t>
      </w:r>
      <w:r w:rsidR="00816D7E">
        <w:t xml:space="preserve">for </w:t>
      </w:r>
      <w:r w:rsidR="00E21DC4">
        <w:t>context</w:t>
      </w:r>
      <w:r w:rsidR="00816D7E">
        <w:t>,</w:t>
      </w:r>
      <w:r w:rsidR="007E6C6F">
        <w:t xml:space="preserve"> noting </w:t>
      </w:r>
      <w:r w:rsidR="00B752AC">
        <w:t>they are</w:t>
      </w:r>
      <w:r w:rsidR="00B33B9C">
        <w:t xml:space="preserve"> not </w:t>
      </w:r>
      <w:r w:rsidR="006D0878">
        <w:t xml:space="preserve">the </w:t>
      </w:r>
      <w:r w:rsidR="00400440">
        <w:t>focus</w:t>
      </w:r>
      <w:r w:rsidR="006D0878">
        <w:t xml:space="preserve"> of this review</w:t>
      </w:r>
      <w:r w:rsidR="00400440">
        <w:t xml:space="preserve">. This review focuses on </w:t>
      </w:r>
      <w:r w:rsidR="00AA2351">
        <w:t>making</w:t>
      </w:r>
      <w:r w:rsidR="00400440">
        <w:t xml:space="preserve"> </w:t>
      </w:r>
      <w:r w:rsidR="00D86F6D">
        <w:t>commission</w:t>
      </w:r>
      <w:r w:rsidR="00B752AC">
        <w:t>’</w:t>
      </w:r>
      <w:r w:rsidR="00D86F6D">
        <w:t>s requirements for</w:t>
      </w:r>
      <w:r w:rsidR="00135631">
        <w:t xml:space="preserve"> </w:t>
      </w:r>
      <w:r w:rsidR="007E6C6F">
        <w:t xml:space="preserve">assessing NCCs </w:t>
      </w:r>
      <w:r w:rsidR="00DD3E9E">
        <w:t xml:space="preserve">to be set out in guidance </w:t>
      </w:r>
      <w:r w:rsidR="00CA3211">
        <w:t xml:space="preserve">to be </w:t>
      </w:r>
      <w:r w:rsidR="00DD3E9E">
        <w:t xml:space="preserve">issued </w:t>
      </w:r>
      <w:r w:rsidR="003D5D24">
        <w:t>for</w:t>
      </w:r>
      <w:r w:rsidR="007E6C6F">
        <w:t xml:space="preserve"> </w:t>
      </w:r>
      <w:r w:rsidR="00794213">
        <w:t xml:space="preserve">the 2028 </w:t>
      </w:r>
      <w:r w:rsidR="00B515BA">
        <w:t>water</w:t>
      </w:r>
      <w:r w:rsidR="00D75105">
        <w:t xml:space="preserve"> </w:t>
      </w:r>
      <w:r w:rsidR="007E6C6F">
        <w:t>price review</w:t>
      </w:r>
      <w:r w:rsidR="006F00E0">
        <w:t xml:space="preserve"> (see yellow shaded are</w:t>
      </w:r>
      <w:r w:rsidR="00832704">
        <w:t>a</w:t>
      </w:r>
      <w:r w:rsidR="006F00E0">
        <w:t xml:space="preserve"> in Figure 2.1)</w:t>
      </w:r>
      <w:r w:rsidR="003D5D24">
        <w:t>.</w:t>
      </w:r>
    </w:p>
    <w:p w14:paraId="3BF86635" w14:textId="77777777" w:rsidR="004B374F" w:rsidRDefault="004B374F" w:rsidP="004B374F">
      <w:pPr>
        <w:pStyle w:val="Heading3"/>
      </w:pPr>
      <w:bookmarkStart w:id="22" w:name="_Toc173844755"/>
      <w:bookmarkStart w:id="23" w:name="_Toc174348952"/>
      <w:r>
        <w:t>Essential Services Commission Act 2001 (Vic)</w:t>
      </w:r>
      <w:bookmarkEnd w:id="22"/>
      <w:bookmarkEnd w:id="23"/>
    </w:p>
    <w:p w14:paraId="4375E096" w14:textId="77777777" w:rsidR="004B374F" w:rsidRDefault="004B374F" w:rsidP="004B374F">
      <w:r>
        <w:t xml:space="preserve">The </w:t>
      </w:r>
      <w:r w:rsidRPr="00BA3C5C">
        <w:t xml:space="preserve">Essential Services Commission </w:t>
      </w:r>
      <w:r>
        <w:t xml:space="preserve">Act </w:t>
      </w:r>
      <w:r w:rsidRPr="00BA3C5C">
        <w:t>2001 (Vic)</w:t>
      </w:r>
      <w:r>
        <w:t xml:space="preserve"> (ESC Act) provides the commission with functions and powers to regulate prices for prescribed goods and services supplied by or within regulated industries.</w:t>
      </w:r>
      <w:r>
        <w:rPr>
          <w:rStyle w:val="FootnoteReference"/>
        </w:rPr>
        <w:footnoteReference w:id="15"/>
      </w:r>
      <w:r>
        <w:t xml:space="preserve"> Victoria’s 18 water businesses are a regulated industry</w:t>
      </w:r>
      <w:r>
        <w:rPr>
          <w:rStyle w:val="FootnoteReference"/>
        </w:rPr>
        <w:footnoteReference w:id="16"/>
      </w:r>
      <w:r>
        <w:t xml:space="preserve"> for purposes of the ESC Act, and the services provided by these water businesses, including developer charges (also known as NCCs), are prescribed services</w:t>
      </w:r>
      <w:r>
        <w:rPr>
          <w:rStyle w:val="FootnoteReference"/>
        </w:rPr>
        <w:footnoteReference w:id="17"/>
      </w:r>
      <w:r>
        <w:t xml:space="preserve"> for purposes of this Act. </w:t>
      </w:r>
    </w:p>
    <w:p w14:paraId="2DD4B1AB" w14:textId="4B0CB3E1" w:rsidR="00BA73DE" w:rsidRDefault="004B374F" w:rsidP="004B374F">
      <w:pPr>
        <w:rPr>
          <w:rFonts w:asciiTheme="majorHAnsi" w:eastAsiaTheme="majorEastAsia" w:hAnsiTheme="majorHAnsi" w:cstheme="majorBidi"/>
          <w:b/>
          <w:color w:val="4986A0" w:themeColor="text2"/>
          <w:szCs w:val="24"/>
          <w:lang w:val="en-US"/>
        </w:rPr>
      </w:pPr>
      <w:r>
        <w:t>This means the commission is vested with functions and powers to regulate developer charges (NCCs). It does so through a price determination made for each water business under the ESC Act.</w:t>
      </w:r>
      <w:r>
        <w:rPr>
          <w:rStyle w:val="FootnoteReference"/>
        </w:rPr>
        <w:footnoteReference w:id="18"/>
      </w:r>
      <w:r>
        <w:t xml:space="preserve"> A price determination is binding on the water business specified in the determination.</w:t>
      </w:r>
      <w:r>
        <w:rPr>
          <w:rStyle w:val="FootnoteReference"/>
        </w:rPr>
        <w:footnoteReference w:id="19"/>
      </w:r>
      <w:r>
        <w:t xml:space="preserve"> </w:t>
      </w:r>
      <w:r w:rsidR="00BA73DE">
        <w:br w:type="page"/>
      </w:r>
    </w:p>
    <w:p w14:paraId="42F947F9" w14:textId="4F9CC07D" w:rsidR="00BE6CEC" w:rsidRDefault="00BE6CEC" w:rsidP="00BE6CEC">
      <w:pPr>
        <w:pStyle w:val="Figure-Table-BoxHeading"/>
        <w:spacing w:line="240" w:lineRule="auto"/>
        <w:ind w:left="1560" w:hanging="1560"/>
      </w:pPr>
      <w:r w:rsidRPr="00AB1C0C">
        <w:lastRenderedPageBreak/>
        <w:t xml:space="preserve">Figure </w:t>
      </w:r>
      <w:r>
        <w:t>2</w:t>
      </w:r>
      <w:r w:rsidRPr="00AB1C0C">
        <w:t>.</w:t>
      </w:r>
      <w:r w:rsidR="00993E17">
        <w:fldChar w:fldCharType="begin"/>
      </w:r>
      <w:r w:rsidR="00993E17">
        <w:instrText xml:space="preserve"> SEQ Figure \* ARABIC \s 1 </w:instrText>
      </w:r>
      <w:r w:rsidR="00993E17">
        <w:fldChar w:fldCharType="separate"/>
      </w:r>
      <w:r w:rsidR="009A4DD8">
        <w:rPr>
          <w:noProof/>
        </w:rPr>
        <w:t>1</w:t>
      </w:r>
      <w:r w:rsidR="00993E17">
        <w:rPr>
          <w:noProof/>
        </w:rPr>
        <w:fldChar w:fldCharType="end"/>
      </w:r>
      <w:r>
        <w:rPr>
          <w:noProof/>
        </w:rPr>
        <w:tab/>
      </w:r>
    </w:p>
    <w:p w14:paraId="704AE33D" w14:textId="77777777" w:rsidR="00BE6CEC" w:rsidRDefault="00BE6CEC" w:rsidP="00BE6CEC">
      <w:pPr>
        <w:pStyle w:val="Figure-Table-BoxHeading"/>
        <w:spacing w:line="240" w:lineRule="auto"/>
        <w:ind w:left="1560" w:hanging="1560"/>
      </w:pPr>
      <w:r w:rsidRPr="00F5214F">
        <w:rPr>
          <w:rFonts w:ascii="Times New Roman" w:eastAsia="Times New Roman" w:hAnsi="Times New Roman" w:cs="Times New Roman"/>
          <w:noProof/>
          <w:sz w:val="24"/>
          <w:lang w:eastAsia="en-AU"/>
        </w:rPr>
        <w:drawing>
          <wp:inline distT="0" distB="0" distL="0" distR="0" wp14:anchorId="08EA5E43" wp14:editId="222EEE3C">
            <wp:extent cx="6120130" cy="7854950"/>
            <wp:effectExtent l="0" t="0" r="0" b="0"/>
            <wp:docPr id="162215209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13838" name="Picture 1" descr="A diagram of a 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7854950"/>
                    </a:xfrm>
                    <a:prstGeom prst="rect">
                      <a:avLst/>
                    </a:prstGeom>
                    <a:noFill/>
                    <a:ln>
                      <a:noFill/>
                    </a:ln>
                  </pic:spPr>
                </pic:pic>
              </a:graphicData>
            </a:graphic>
          </wp:inline>
        </w:drawing>
      </w:r>
    </w:p>
    <w:p w14:paraId="03FC80EB" w14:textId="77777777" w:rsidR="00BE6CEC" w:rsidRPr="00AB1C0C" w:rsidRDefault="00BE6CEC" w:rsidP="00BE6CEC">
      <w:pPr>
        <w:spacing w:before="100" w:beforeAutospacing="1" w:after="100" w:afterAutospacing="1" w:line="240" w:lineRule="auto"/>
        <w:rPr>
          <w:b/>
        </w:rPr>
      </w:pPr>
    </w:p>
    <w:p w14:paraId="705E984D" w14:textId="77777777" w:rsidR="00BE6CEC" w:rsidRDefault="00BE6CEC" w:rsidP="00686E55"/>
    <w:p w14:paraId="7688AAC5" w14:textId="77777777" w:rsidR="00BA73DE" w:rsidRDefault="00BA73DE" w:rsidP="006F663F">
      <w:pPr>
        <w:pStyle w:val="Heading3"/>
      </w:pPr>
      <w:bookmarkStart w:id="24" w:name="_Toc173487062"/>
      <w:bookmarkStart w:id="25" w:name="_Toc173844756"/>
      <w:bookmarkStart w:id="26" w:name="_Toc174348953"/>
      <w:r>
        <w:t>Water Industry Act (Vic)</w:t>
      </w:r>
      <w:bookmarkEnd w:id="24"/>
      <w:bookmarkEnd w:id="25"/>
      <w:bookmarkEnd w:id="26"/>
    </w:p>
    <w:p w14:paraId="18F22241" w14:textId="331621DC" w:rsidR="00AE4EF7" w:rsidRDefault="00BA73DE" w:rsidP="009715BA">
      <w:r>
        <w:t xml:space="preserve">The </w:t>
      </w:r>
      <w:r w:rsidRPr="00BA3C5C">
        <w:t>Water Industry Act 1994 (Vic)</w:t>
      </w:r>
      <w:r>
        <w:t xml:space="preserve"> (WI Act) provides the broad enabling framework for price and service standard regulation of Victoria’s water industry. It identifies 18 water business as ‘regulated entities’ for these purposes.</w:t>
      </w:r>
      <w:r>
        <w:rPr>
          <w:rStyle w:val="FootnoteReference"/>
        </w:rPr>
        <w:footnoteReference w:id="20"/>
      </w:r>
      <w:r>
        <w:t xml:space="preserve"> It provides for the making of a Water Industry Regulatory Order by the Governor in Council which sets out the detailed framework for </w:t>
      </w:r>
      <w:r w:rsidR="006358E3">
        <w:t xml:space="preserve">the </w:t>
      </w:r>
      <w:r>
        <w:t>regulation of prices for prescribed services, and the role of the commission.</w:t>
      </w:r>
      <w:r>
        <w:rPr>
          <w:rStyle w:val="FootnoteReference"/>
        </w:rPr>
        <w:footnoteReference w:id="21"/>
      </w:r>
      <w:r>
        <w:t xml:space="preserve"> </w:t>
      </w:r>
    </w:p>
    <w:p w14:paraId="64560CEC" w14:textId="725DF0F7" w:rsidR="00BA3C5C" w:rsidRDefault="00BA3C5C" w:rsidP="006F663F">
      <w:pPr>
        <w:pStyle w:val="Heading3"/>
      </w:pPr>
      <w:bookmarkStart w:id="27" w:name="_Toc173487063"/>
      <w:bookmarkStart w:id="28" w:name="_Toc173844757"/>
      <w:bookmarkStart w:id="29" w:name="_Toc174348954"/>
      <w:r>
        <w:t>Water Industry Regulatory Order 2014</w:t>
      </w:r>
      <w:bookmarkEnd w:id="27"/>
      <w:bookmarkEnd w:id="28"/>
      <w:bookmarkEnd w:id="29"/>
    </w:p>
    <w:p w14:paraId="29C65DF9" w14:textId="6EF01AA6" w:rsidR="006555C3" w:rsidRDefault="00515765" w:rsidP="00AE4EF7">
      <w:r>
        <w:t xml:space="preserve">The </w:t>
      </w:r>
      <w:r w:rsidRPr="00BA3C5C">
        <w:t>Water Industry Regulatory Order 2014</w:t>
      </w:r>
      <w:r>
        <w:t xml:space="preserve"> </w:t>
      </w:r>
      <w:r w:rsidR="00206AC8">
        <w:t xml:space="preserve">(WIRO) </w:t>
      </w:r>
      <w:r>
        <w:t>specifies the prescribed services provided by the water businesses that are subject to price regulation by the commission.</w:t>
      </w:r>
      <w:r>
        <w:rPr>
          <w:rStyle w:val="FootnoteReference"/>
        </w:rPr>
        <w:footnoteReference w:id="22"/>
      </w:r>
      <w:r>
        <w:t xml:space="preserve"> These include services to which </w:t>
      </w:r>
      <w:r w:rsidR="008F679B">
        <w:t>new customer contributions</w:t>
      </w:r>
      <w:r>
        <w:t xml:space="preserve"> </w:t>
      </w:r>
      <w:r w:rsidR="005E3EDD">
        <w:t>(</w:t>
      </w:r>
      <w:r w:rsidR="003540BD">
        <w:t>NCC</w:t>
      </w:r>
      <w:r w:rsidR="00E11F3F">
        <w:t>s</w:t>
      </w:r>
      <w:r w:rsidR="005E3EDD">
        <w:t xml:space="preserve">) </w:t>
      </w:r>
      <w:r>
        <w:t>apply</w:t>
      </w:r>
      <w:r w:rsidR="005E3EDD">
        <w:t>.</w:t>
      </w:r>
      <w:r w:rsidR="000011CA">
        <w:t xml:space="preserve"> </w:t>
      </w:r>
    </w:p>
    <w:p w14:paraId="63AB6FC8" w14:textId="57002A70" w:rsidR="002401FC" w:rsidRDefault="00075510" w:rsidP="0045343E">
      <w:r>
        <w:t xml:space="preserve">The </w:t>
      </w:r>
      <w:r w:rsidR="00206AC8">
        <w:t>WIRO</w:t>
      </w:r>
      <w:r>
        <w:t xml:space="preserve"> </w:t>
      </w:r>
      <w:r w:rsidR="00C267C4">
        <w:t>sets out the objectives to be pursued by the commission when performing its functions and exercising its powers in relation to the regulated water industry</w:t>
      </w:r>
      <w:r w:rsidR="003449D3">
        <w:t>,</w:t>
      </w:r>
      <w:r w:rsidR="00C267C4">
        <w:rPr>
          <w:rStyle w:val="FootnoteReference"/>
        </w:rPr>
        <w:footnoteReference w:id="23"/>
      </w:r>
      <w:r w:rsidR="00C267C4">
        <w:t xml:space="preserve"> </w:t>
      </w:r>
      <w:r w:rsidR="003449D3">
        <w:t xml:space="preserve">and </w:t>
      </w:r>
      <w:r w:rsidR="00CE2148">
        <w:t xml:space="preserve">specifies several </w:t>
      </w:r>
      <w:r w:rsidR="003449D3">
        <w:t xml:space="preserve">matters </w:t>
      </w:r>
      <w:r w:rsidR="00CE2148">
        <w:t xml:space="preserve">that </w:t>
      </w:r>
      <w:r w:rsidR="003449D3">
        <w:t xml:space="preserve">we must have regard to. </w:t>
      </w:r>
      <w:r w:rsidR="003F4DC8">
        <w:t>For price determinations, c</w:t>
      </w:r>
      <w:r w:rsidR="00C04E11">
        <w:t>lause 11</w:t>
      </w:r>
      <w:r w:rsidR="004D56DC">
        <w:t>(c)</w:t>
      </w:r>
      <w:r w:rsidR="00C04E11">
        <w:t xml:space="preserve"> </w:t>
      </w:r>
      <w:r w:rsidR="001A6063">
        <w:t xml:space="preserve">specifies that </w:t>
      </w:r>
      <w:r w:rsidR="00CF6AB8">
        <w:t xml:space="preserve">we </w:t>
      </w:r>
      <w:r w:rsidR="00117DB1">
        <w:t xml:space="preserve">also </w:t>
      </w:r>
      <w:r w:rsidR="001A6063">
        <w:t xml:space="preserve">must have regard to matters </w:t>
      </w:r>
      <w:r w:rsidR="0045343E">
        <w:t>specified in the guidance we</w:t>
      </w:r>
      <w:r w:rsidR="00117DB1">
        <w:t xml:space="preserve"> that we </w:t>
      </w:r>
      <w:r w:rsidR="0045343E">
        <w:t xml:space="preserve">issue </w:t>
      </w:r>
      <w:r w:rsidR="00206AC8">
        <w:t xml:space="preserve">under </w:t>
      </w:r>
      <w:r w:rsidR="00C04E11">
        <w:t>clause 13</w:t>
      </w:r>
      <w:r w:rsidR="00C76950">
        <w:t>.</w:t>
      </w:r>
    </w:p>
    <w:p w14:paraId="42918102" w14:textId="71DBC8C4" w:rsidR="00527334" w:rsidRDefault="00BE2CD4" w:rsidP="00B625F6">
      <w:r>
        <w:t xml:space="preserve">The </w:t>
      </w:r>
      <w:r w:rsidR="00206AC8">
        <w:t>WIRO</w:t>
      </w:r>
      <w:r w:rsidR="002321B9" w:rsidRPr="00D43003">
        <w:t xml:space="preserve"> also </w:t>
      </w:r>
      <w:r w:rsidR="00D43003" w:rsidRPr="00D43003">
        <w:t>provides a propose</w:t>
      </w:r>
      <w:r w:rsidR="00EB1CA6">
        <w:t>-</w:t>
      </w:r>
      <w:r w:rsidR="00D43003" w:rsidRPr="00D43003">
        <w:t xml:space="preserve">respond model under which a water business must submit a price submission to </w:t>
      </w:r>
      <w:r>
        <w:t>us</w:t>
      </w:r>
      <w:r w:rsidR="00AE4744">
        <w:t>.</w:t>
      </w:r>
      <w:r w:rsidR="00D43003" w:rsidRPr="00D43003">
        <w:t xml:space="preserve"> </w:t>
      </w:r>
      <w:r w:rsidR="00AE4744">
        <w:t>W</w:t>
      </w:r>
      <w:r w:rsidR="00E77575">
        <w:t>e</w:t>
      </w:r>
      <w:r w:rsidR="00D43003" w:rsidRPr="00D43003">
        <w:t xml:space="preserve"> must then follow a process </w:t>
      </w:r>
      <w:r w:rsidR="003F4E1D">
        <w:t xml:space="preserve">to </w:t>
      </w:r>
      <w:r w:rsidR="00D43003" w:rsidRPr="00B625F6">
        <w:t xml:space="preserve">make a final decision and </w:t>
      </w:r>
      <w:r w:rsidR="00252892">
        <w:t xml:space="preserve">issue a </w:t>
      </w:r>
      <w:r w:rsidR="00D43003" w:rsidRPr="00B625F6">
        <w:t>price determination.</w:t>
      </w:r>
      <w:r w:rsidR="00252892">
        <w:t xml:space="preserve"> </w:t>
      </w:r>
      <w:r w:rsidR="00B625F6" w:rsidRPr="00B625F6">
        <w:t>The commission must, in its determination either</w:t>
      </w:r>
      <w:r w:rsidR="00527334">
        <w:t>:</w:t>
      </w:r>
    </w:p>
    <w:p w14:paraId="26AEB831" w14:textId="460B0635" w:rsidR="00527334" w:rsidRDefault="00B625F6" w:rsidP="003A6451">
      <w:pPr>
        <w:pStyle w:val="ListBullet"/>
      </w:pPr>
      <w:r w:rsidRPr="00B625F6">
        <w:t xml:space="preserve">approve the maximum prices a water business may charge for prescribed services or the </w:t>
      </w:r>
      <w:proofErr w:type="gramStart"/>
      <w:r w:rsidRPr="00B625F6">
        <w:t>manner in which</w:t>
      </w:r>
      <w:proofErr w:type="gramEnd"/>
      <w:r w:rsidRPr="00B625F6">
        <w:t xml:space="preserve"> the regulated entity’s prices are to be calculated, determined or otherwise regulated</w:t>
      </w:r>
      <w:r w:rsidRPr="00B625F6">
        <w:rPr>
          <w:rStyle w:val="FootnoteReference"/>
        </w:rPr>
        <w:footnoteReference w:id="24"/>
      </w:r>
      <w:r w:rsidRPr="00B625F6">
        <w:t xml:space="preserve">, as proposed by the water business in its price submission; or </w:t>
      </w:r>
    </w:p>
    <w:p w14:paraId="3B4C8373" w14:textId="5A413BA0" w:rsidR="00B625F6" w:rsidRPr="00B625F6" w:rsidRDefault="00B625F6" w:rsidP="003A6451">
      <w:pPr>
        <w:pStyle w:val="ListBullet"/>
      </w:pPr>
      <w:r w:rsidRPr="00B625F6">
        <w:t>specify the maximum prices or manner for calculating these prices</w:t>
      </w:r>
      <w:r w:rsidRPr="00B625F6">
        <w:rPr>
          <w:rStyle w:val="FootnoteReference"/>
        </w:rPr>
        <w:footnoteReference w:id="25"/>
      </w:r>
      <w:r w:rsidRPr="00B625F6">
        <w:t>.</w:t>
      </w:r>
    </w:p>
    <w:p w14:paraId="5B05556A" w14:textId="3AED3A85" w:rsidR="00B625F6" w:rsidRDefault="00B625F6" w:rsidP="00B625F6">
      <w:r w:rsidRPr="00B625F6">
        <w:t>The com</w:t>
      </w:r>
      <w:r>
        <w:t xml:space="preserve">mission may only specify the maximum prices, or </w:t>
      </w:r>
      <w:proofErr w:type="gramStart"/>
      <w:r>
        <w:t>manner in which</w:t>
      </w:r>
      <w:proofErr w:type="gramEnd"/>
      <w:r>
        <w:t xml:space="preserve"> prices are to be calculated, determined or otherwise regulated, if a price submission does not, in the commission’s opinion, comply with the guidance it provides under clause 13 of the </w:t>
      </w:r>
      <w:r w:rsidR="003B3211">
        <w:t>WIRO</w:t>
      </w:r>
      <w:r>
        <w:t xml:space="preserve"> or have adequate regard for the matters specified in clause 11</w:t>
      </w:r>
      <w:r w:rsidR="00C906C8">
        <w:t>. We may also specify maximum prices</w:t>
      </w:r>
      <w:r w:rsidR="00822B70">
        <w:t xml:space="preserve">, or </w:t>
      </w:r>
      <w:proofErr w:type="gramStart"/>
      <w:r w:rsidR="00822B70">
        <w:t xml:space="preserve">manner in </w:t>
      </w:r>
      <w:r w:rsidR="00822B70">
        <w:lastRenderedPageBreak/>
        <w:t>which</w:t>
      </w:r>
      <w:proofErr w:type="gramEnd"/>
      <w:r w:rsidR="00822B70">
        <w:t xml:space="preserve"> prices are to be calculated, determined or otherwise regulated,</w:t>
      </w:r>
      <w:r w:rsidR="00C906C8">
        <w:t xml:space="preserve"> </w:t>
      </w:r>
      <w:r>
        <w:t>if a water business has not submitted a price submission to the commission</w:t>
      </w:r>
      <w:r w:rsidR="00527334">
        <w:t>.</w:t>
      </w:r>
    </w:p>
    <w:p w14:paraId="185E38B6" w14:textId="439C03E5" w:rsidR="0089727B" w:rsidRDefault="00040A6A" w:rsidP="006F663F">
      <w:pPr>
        <w:pStyle w:val="Heading2"/>
      </w:pPr>
      <w:bookmarkStart w:id="30" w:name="_Toc173487064"/>
      <w:bookmarkStart w:id="31" w:name="_Toc174348955"/>
      <w:r>
        <w:t>Commission’s guidance</w:t>
      </w:r>
      <w:bookmarkEnd w:id="30"/>
      <w:bookmarkEnd w:id="31"/>
    </w:p>
    <w:p w14:paraId="5ED9AADE" w14:textId="15DBF674" w:rsidR="001F7FEE" w:rsidRDefault="0054120A" w:rsidP="00AA54B1">
      <w:pPr>
        <w:rPr>
          <w:lang w:val="en-GB" w:eastAsia="zh-CN"/>
        </w:rPr>
      </w:pPr>
      <w:r>
        <w:t xml:space="preserve">Guidance issued by the commission </w:t>
      </w:r>
      <w:r w:rsidRPr="007102CC">
        <w:t xml:space="preserve">pursuant to the </w:t>
      </w:r>
      <w:r w:rsidR="003B3211">
        <w:t>WIRO</w:t>
      </w:r>
      <w:r w:rsidRPr="007102CC">
        <w:rPr>
          <w:rStyle w:val="FootnoteReference"/>
        </w:rPr>
        <w:footnoteReference w:id="26"/>
      </w:r>
      <w:r>
        <w:t xml:space="preserve"> sets out our regulatory framework for </w:t>
      </w:r>
      <w:r w:rsidR="00BD26DF">
        <w:t>NCCs</w:t>
      </w:r>
      <w:r>
        <w:t xml:space="preserve">. </w:t>
      </w:r>
      <w:r w:rsidR="00B515BA">
        <w:t xml:space="preserve">The guidance needs to </w:t>
      </w:r>
      <w:r w:rsidR="001F7FEE" w:rsidRPr="007102CC">
        <w:rPr>
          <w:lang w:val="en-GB" w:eastAsia="zh-CN"/>
        </w:rPr>
        <w:t xml:space="preserve">capture the matters we expect water businesses to </w:t>
      </w:r>
      <w:r w:rsidR="00257380" w:rsidRPr="007102CC">
        <w:rPr>
          <w:lang w:val="en-GB" w:eastAsia="zh-CN"/>
        </w:rPr>
        <w:t>consider</w:t>
      </w:r>
      <w:r w:rsidR="00257380">
        <w:rPr>
          <w:lang w:val="en-GB" w:eastAsia="zh-CN"/>
        </w:rPr>
        <w:t xml:space="preserve"> and</w:t>
      </w:r>
      <w:r w:rsidR="001F7FEE" w:rsidRPr="007102CC">
        <w:rPr>
          <w:lang w:val="en-GB" w:eastAsia="zh-CN"/>
        </w:rPr>
        <w:t xml:space="preserve"> </w:t>
      </w:r>
      <w:r w:rsidR="00625633">
        <w:rPr>
          <w:lang w:val="en-GB" w:eastAsia="zh-CN"/>
        </w:rPr>
        <w:t xml:space="preserve">provide clarity about </w:t>
      </w:r>
      <w:r w:rsidR="001F7FEE" w:rsidRPr="007102CC">
        <w:rPr>
          <w:lang w:val="en-GB" w:eastAsia="zh-CN"/>
        </w:rPr>
        <w:t xml:space="preserve">the information they </w:t>
      </w:r>
      <w:r w:rsidR="002B785E">
        <w:rPr>
          <w:lang w:val="en-GB" w:eastAsia="zh-CN"/>
        </w:rPr>
        <w:t xml:space="preserve">must </w:t>
      </w:r>
      <w:r w:rsidR="001F7FEE" w:rsidRPr="007102CC">
        <w:rPr>
          <w:lang w:val="en-GB" w:eastAsia="zh-CN"/>
        </w:rPr>
        <w:t xml:space="preserve">provide us in support of their </w:t>
      </w:r>
      <w:r w:rsidR="00EA36F4">
        <w:rPr>
          <w:lang w:val="en-GB" w:eastAsia="zh-CN"/>
        </w:rPr>
        <w:t xml:space="preserve">pricing </w:t>
      </w:r>
      <w:r w:rsidR="001F7FEE" w:rsidRPr="007102CC">
        <w:rPr>
          <w:lang w:val="en-GB" w:eastAsia="zh-CN"/>
        </w:rPr>
        <w:t xml:space="preserve">proposals. </w:t>
      </w:r>
      <w:r w:rsidR="00AA54B1">
        <w:rPr>
          <w:lang w:val="en-GB" w:eastAsia="zh-CN"/>
        </w:rPr>
        <w:t xml:space="preserve">Our guidance </w:t>
      </w:r>
      <w:r w:rsidR="00B515BA">
        <w:rPr>
          <w:lang w:val="en-GB" w:eastAsia="zh-CN"/>
        </w:rPr>
        <w:t>also</w:t>
      </w:r>
      <w:r w:rsidR="00AA54B1">
        <w:rPr>
          <w:lang w:val="en-GB" w:eastAsia="zh-CN"/>
        </w:rPr>
        <w:t xml:space="preserve"> needs to consider the binding requirements that the Water Act 1989 (Vic) imposes on water businesses </w:t>
      </w:r>
      <w:r w:rsidR="002B3809">
        <w:rPr>
          <w:lang w:val="en-GB" w:eastAsia="zh-CN"/>
        </w:rPr>
        <w:t>in relation to new connections</w:t>
      </w:r>
      <w:r w:rsidR="00781206">
        <w:rPr>
          <w:lang w:val="en-GB" w:eastAsia="zh-CN"/>
        </w:rPr>
        <w:t xml:space="preserve"> requiring payment of an NCC</w:t>
      </w:r>
      <w:r w:rsidR="002B3809">
        <w:rPr>
          <w:lang w:val="en-GB" w:eastAsia="zh-CN"/>
        </w:rPr>
        <w:t>.</w:t>
      </w:r>
    </w:p>
    <w:p w14:paraId="0D1887DA" w14:textId="40293997" w:rsidR="00AB30E9" w:rsidRDefault="00BF78BD" w:rsidP="00AB30E9">
      <w:r w:rsidRPr="007102CC">
        <w:t>Our framework for NCCs was set out in guidance we issued for the 2023 water price review.</w:t>
      </w:r>
      <w:r w:rsidRPr="007102CC">
        <w:rPr>
          <w:rStyle w:val="FootnoteReference"/>
        </w:rPr>
        <w:footnoteReference w:id="27"/>
      </w:r>
      <w:r w:rsidR="00CB6656">
        <w:t xml:space="preserve"> </w:t>
      </w:r>
      <w:r w:rsidR="0001313C">
        <w:t xml:space="preserve">Under our guidance, </w:t>
      </w:r>
      <w:r w:rsidR="00D14DC4">
        <w:t xml:space="preserve">NCCs </w:t>
      </w:r>
      <w:r w:rsidR="0001313C" w:rsidRPr="00751457">
        <w:t>can be either standard or negotiated</w:t>
      </w:r>
      <w:r w:rsidR="0001313C">
        <w:t>:</w:t>
      </w:r>
      <w:r w:rsidR="00AB30E9" w:rsidRPr="00751457">
        <w:t xml:space="preserve"> </w:t>
      </w:r>
    </w:p>
    <w:p w14:paraId="01205F43" w14:textId="77777777" w:rsidR="00AB30E9" w:rsidRDefault="007B6C42" w:rsidP="009539CC">
      <w:pPr>
        <w:pStyle w:val="ListBullet"/>
      </w:pPr>
      <w:r>
        <w:t>s</w:t>
      </w:r>
      <w:r w:rsidR="00AB30E9">
        <w:t>tandard charges are proposed by the water business and approved by the commission</w:t>
      </w:r>
    </w:p>
    <w:p w14:paraId="51F32F22" w14:textId="77777777" w:rsidR="00AB30E9" w:rsidRDefault="007B6C42" w:rsidP="009539CC">
      <w:pPr>
        <w:pStyle w:val="ListBullet"/>
      </w:pPr>
      <w:r>
        <w:t>n</w:t>
      </w:r>
      <w:r w:rsidR="00AB30E9">
        <w:t>egotiated charges are negotiated between the</w:t>
      </w:r>
      <w:r w:rsidR="00AB30E9" w:rsidRPr="00E93092">
        <w:t xml:space="preserve"> </w:t>
      </w:r>
      <w:r w:rsidR="00AB30E9" w:rsidRPr="00751457">
        <w:t xml:space="preserve">water business and </w:t>
      </w:r>
      <w:r w:rsidR="00AB30E9">
        <w:t xml:space="preserve">the </w:t>
      </w:r>
      <w:r w:rsidR="00AB30E9" w:rsidRPr="00751457">
        <w:t xml:space="preserve">connection applicant </w:t>
      </w:r>
      <w:r w:rsidR="00AB30E9">
        <w:t xml:space="preserve">on a site-specific basis. </w:t>
      </w:r>
    </w:p>
    <w:p w14:paraId="3C09E712" w14:textId="77777777" w:rsidR="00AB30E9" w:rsidRPr="00751457" w:rsidRDefault="00AB30E9" w:rsidP="00AB30E9">
      <w:r w:rsidRPr="00751457">
        <w:t xml:space="preserve">Standard charges apply to new connections in areas where infrastructure requirements and growth rates are relatively well known and designated by the water business. </w:t>
      </w:r>
      <w:r>
        <w:t xml:space="preserve">Standard charges reduce the administrative burden and improve the timeliness and predictability of costs faced by developers. </w:t>
      </w:r>
    </w:p>
    <w:p w14:paraId="0CB22B3E" w14:textId="49E6F320" w:rsidR="0001313C" w:rsidRDefault="0001313C" w:rsidP="0001313C">
      <w:r>
        <w:t>Negotiated charges may apply</w:t>
      </w:r>
      <w:r w:rsidRPr="00751457">
        <w:t xml:space="preserve"> where standard charges </w:t>
      </w:r>
      <w:r>
        <w:t>would</w:t>
      </w:r>
      <w:r w:rsidRPr="00751457">
        <w:t xml:space="preserve"> not </w:t>
      </w:r>
      <w:r>
        <w:t>be</w:t>
      </w:r>
      <w:r w:rsidRPr="00751457">
        <w:t xml:space="preserve"> fair and reasonable or where a new connection is outside the areas</w:t>
      </w:r>
      <w:r>
        <w:t xml:space="preserve"> or connection conditions</w:t>
      </w:r>
      <w:r w:rsidRPr="00751457">
        <w:t xml:space="preserve"> eligible for standard charges. </w:t>
      </w:r>
      <w:r>
        <w:t xml:space="preserve">While we </w:t>
      </w:r>
      <w:r w:rsidRPr="00751457">
        <w:t xml:space="preserve">do not approve </w:t>
      </w:r>
      <w:r>
        <w:t>individual</w:t>
      </w:r>
      <w:r w:rsidRPr="00751457">
        <w:t xml:space="preserve"> negotiated charges</w:t>
      </w:r>
      <w:r>
        <w:t>, we do approve each water business’ framework for negotiating these charges</w:t>
      </w:r>
      <w:r w:rsidR="0098514A">
        <w:t xml:space="preserve"> at each price review</w:t>
      </w:r>
      <w:r>
        <w:t>.</w:t>
      </w:r>
    </w:p>
    <w:p w14:paraId="49062FE2" w14:textId="28D12ADA" w:rsidR="00536E58" w:rsidRDefault="00BE79A6" w:rsidP="00536E58">
      <w:r w:rsidRPr="007102CC">
        <w:rPr>
          <w:lang w:val="en-GB" w:eastAsia="zh-CN"/>
        </w:rPr>
        <w:t xml:space="preserve">The 2023 guidance </w:t>
      </w:r>
      <w:r w:rsidR="0098514A">
        <w:rPr>
          <w:lang w:val="en-GB" w:eastAsia="zh-CN"/>
        </w:rPr>
        <w:t xml:space="preserve">also </w:t>
      </w:r>
      <w:r w:rsidRPr="007102CC">
        <w:rPr>
          <w:lang w:val="en-GB" w:eastAsia="zh-CN"/>
        </w:rPr>
        <w:t xml:space="preserve">set out pricing principles which we required water businesses to use to calculate their NCCs (Box </w:t>
      </w:r>
      <w:r>
        <w:rPr>
          <w:lang w:val="en-GB" w:eastAsia="zh-CN"/>
        </w:rPr>
        <w:t>2</w:t>
      </w:r>
      <w:r w:rsidRPr="007102CC">
        <w:rPr>
          <w:lang w:val="en-GB" w:eastAsia="zh-CN"/>
        </w:rPr>
        <w:t>.</w:t>
      </w:r>
      <w:r>
        <w:rPr>
          <w:lang w:val="en-GB" w:eastAsia="zh-CN"/>
        </w:rPr>
        <w:t>1</w:t>
      </w:r>
      <w:r w:rsidRPr="007102CC">
        <w:rPr>
          <w:lang w:val="en-GB" w:eastAsia="zh-CN"/>
        </w:rPr>
        <w:t>).</w:t>
      </w:r>
      <w:r w:rsidR="0098514A">
        <w:rPr>
          <w:lang w:val="en-GB" w:eastAsia="zh-CN"/>
        </w:rPr>
        <w:t xml:space="preserve"> </w:t>
      </w:r>
      <w:r w:rsidR="00CB6656" w:rsidRPr="007102CC">
        <w:rPr>
          <w:lang w:val="en-GB" w:eastAsia="zh-CN"/>
        </w:rPr>
        <w:t>It referenced the explanatory note we issued in December 2013 which set</w:t>
      </w:r>
      <w:r w:rsidR="008D5D99">
        <w:rPr>
          <w:lang w:val="en-GB" w:eastAsia="zh-CN"/>
        </w:rPr>
        <w:t>s</w:t>
      </w:r>
      <w:r w:rsidR="00CB6656" w:rsidRPr="007102CC">
        <w:rPr>
          <w:lang w:val="en-GB" w:eastAsia="zh-CN"/>
        </w:rPr>
        <w:t xml:space="preserve"> out detail on the types of NCC (standard or negotiated) and how to interpret and apply the pricing principles. </w:t>
      </w:r>
      <w:r w:rsidR="00536E58" w:rsidRPr="007102CC">
        <w:rPr>
          <w:lang w:val="en-GB" w:eastAsia="zh-CN"/>
        </w:rPr>
        <w:t>Th</w:t>
      </w:r>
      <w:r w:rsidR="00536E58">
        <w:rPr>
          <w:lang w:val="en-GB" w:eastAsia="zh-CN"/>
        </w:rPr>
        <w:t>e</w:t>
      </w:r>
      <w:r w:rsidR="00536E58" w:rsidRPr="007102CC">
        <w:rPr>
          <w:lang w:val="en-GB" w:eastAsia="zh-CN"/>
        </w:rPr>
        <w:t xml:space="preserve"> explanatory note formed part of the guidance</w:t>
      </w:r>
      <w:r w:rsidR="00536E58">
        <w:rPr>
          <w:lang w:val="en-GB" w:eastAsia="zh-CN"/>
        </w:rPr>
        <w:t>.</w:t>
      </w:r>
      <w:r w:rsidR="00536E58" w:rsidRPr="00B90E04">
        <w:t xml:space="preserve"> </w:t>
      </w:r>
    </w:p>
    <w:p w14:paraId="22DC8A53" w14:textId="77777777" w:rsidR="00B91E70" w:rsidRDefault="00B91E70" w:rsidP="00536E58"/>
    <w:p w14:paraId="575D4DD2" w14:textId="77777777" w:rsidR="00B91E70" w:rsidRDefault="00B91E70" w:rsidP="00536E58"/>
    <w:p w14:paraId="483BB878" w14:textId="77777777" w:rsidR="001F0DF4" w:rsidRDefault="001F0DF4" w:rsidP="0060065F">
      <w:pPr>
        <w:pStyle w:val="Figure-Table-BoxHeading"/>
        <w:keepNext/>
        <w:spacing w:line="336" w:lineRule="auto"/>
        <w:ind w:left="1418" w:hanging="1418"/>
        <w:rPr>
          <w:noProof/>
          <w:lang w:eastAsia="zh-CN"/>
        </w:rPr>
      </w:pPr>
      <w:r>
        <w:rPr>
          <w:noProof/>
          <w:lang w:eastAsia="zh-CN"/>
        </w:rPr>
        <w:lastRenderedPageBreak/>
        <w:t>Box 2.1</w:t>
      </w:r>
      <w:r>
        <w:rPr>
          <w:noProof/>
          <w:lang w:eastAsia="zh-CN"/>
        </w:rPr>
        <w:tab/>
      </w:r>
      <w:r w:rsidR="00501087">
        <w:rPr>
          <w:noProof/>
          <w:lang w:eastAsia="zh-CN"/>
        </w:rPr>
        <w:t>New</w:t>
      </w:r>
      <w:r>
        <w:rPr>
          <w:noProof/>
          <w:lang w:eastAsia="zh-CN"/>
        </w:rPr>
        <w:t xml:space="preserve"> customer contributions pricing principles</w:t>
      </w:r>
    </w:p>
    <w:p w14:paraId="3620AB1C" w14:textId="77777777" w:rsidR="001F0DF4" w:rsidRDefault="001F0DF4" w:rsidP="001F0DF4">
      <w:pPr>
        <w:pStyle w:val="Pull-out"/>
        <w:rPr>
          <w:noProof/>
          <w:lang w:eastAsia="zh-CN"/>
        </w:rPr>
      </w:pPr>
      <w:r w:rsidRPr="000915AE">
        <w:rPr>
          <w:noProof/>
          <w:lang w:eastAsia="zh-CN"/>
        </w:rPr>
        <w:t>Standard and negotiated new customer contributions will:</w:t>
      </w:r>
      <w:r>
        <w:rPr>
          <w:rStyle w:val="FootnoteReference"/>
        </w:rPr>
        <w:footnoteReference w:id="28"/>
      </w:r>
    </w:p>
    <w:p w14:paraId="1E513102" w14:textId="30B1598E" w:rsidR="001F0DF4" w:rsidRPr="00DB7130" w:rsidRDefault="001F0DF4" w:rsidP="001833CD">
      <w:pPr>
        <w:pStyle w:val="Pull-outBullet1"/>
        <w:ind w:left="555" w:hanging="357"/>
      </w:pPr>
      <w:r>
        <w:rPr>
          <w:noProof/>
          <w:lang w:eastAsia="zh-CN"/>
        </w:rPr>
        <w:t>ha</w:t>
      </w:r>
      <w:proofErr w:type="spellStart"/>
      <w:r>
        <w:rPr>
          <w:lang w:eastAsia="zh-CN"/>
        </w:rPr>
        <w:t>ve</w:t>
      </w:r>
      <w:proofErr w:type="spellEnd"/>
      <w:r w:rsidRPr="00DB7130">
        <w:t xml:space="preserve"> regard to the incremental infrastructure and associated costs in one or more of the statutory cost categories </w:t>
      </w:r>
      <w:r w:rsidR="00536E58" w:rsidRPr="00DB7130">
        <w:t>attributable to a given connection</w:t>
      </w:r>
      <w:r w:rsidR="000D0875">
        <w:rPr>
          <w:rStyle w:val="FootnoteReference"/>
        </w:rPr>
        <w:footnoteReference w:id="29"/>
      </w:r>
    </w:p>
    <w:p w14:paraId="2BD1D96B" w14:textId="77777777" w:rsidR="001F0DF4" w:rsidRPr="00DB7130" w:rsidRDefault="001F0DF4" w:rsidP="001833CD">
      <w:pPr>
        <w:pStyle w:val="Pull-outBullet1"/>
        <w:ind w:left="555" w:hanging="357"/>
      </w:pPr>
      <w:r w:rsidRPr="00DB7130">
        <w:t>have regard to the incremental future revenues that will be earned from customers at that connection</w:t>
      </w:r>
    </w:p>
    <w:p w14:paraId="2C8EA07C" w14:textId="77777777" w:rsidR="001F0DF4" w:rsidRPr="00DB7130" w:rsidRDefault="001F0DF4" w:rsidP="001833CD">
      <w:pPr>
        <w:pStyle w:val="Pull-outBullet1"/>
        <w:ind w:left="555" w:hanging="357"/>
      </w:pPr>
      <w:r w:rsidRPr="00DB7130">
        <w:t>be greater than the avoidable cost of that connection and less than the standalone cost of that connection.</w:t>
      </w:r>
    </w:p>
    <w:p w14:paraId="76AF7AE1" w14:textId="77777777" w:rsidR="008378BE" w:rsidRPr="00AB1C0C" w:rsidRDefault="008378BE" w:rsidP="008378BE">
      <w:r>
        <w:t>We consider t</w:t>
      </w:r>
      <w:r w:rsidRPr="00AB1C0C">
        <w:t xml:space="preserve">hese pricing principles represent the minimum requirements </w:t>
      </w:r>
      <w:r>
        <w:t xml:space="preserve">for </w:t>
      </w:r>
      <w:r w:rsidR="00AB062A">
        <w:t>new</w:t>
      </w:r>
      <w:r w:rsidR="000B579D">
        <w:t xml:space="preserve"> customer contributions</w:t>
      </w:r>
      <w:r>
        <w:t xml:space="preserve"> to be considered</w:t>
      </w:r>
      <w:r w:rsidRPr="00AB1C0C">
        <w:t xml:space="preserve"> fair and reasonable as required by the Water Act. </w:t>
      </w:r>
    </w:p>
    <w:p w14:paraId="4509EEAB" w14:textId="54510EA6" w:rsidR="00AB30E9" w:rsidRDefault="008378BE" w:rsidP="008378BE">
      <w:r>
        <w:t xml:space="preserve">The first two of these principles establish that the </w:t>
      </w:r>
      <w:r w:rsidRPr="00BC753F">
        <w:t xml:space="preserve">cost recovery threshold </w:t>
      </w:r>
      <w:r>
        <w:t xml:space="preserve">for determining upfront contributions (versus ongoing recovery through the regulatory asset base) is a net incremental cost approach, and the third requires that resulting contributions fall within </w:t>
      </w:r>
      <w:r w:rsidR="00536E58">
        <w:t xml:space="preserve">efficient pricing bands. </w:t>
      </w:r>
      <w:r w:rsidR="00536E58" w:rsidRPr="00D5390D">
        <w:t>Appendix A</w:t>
      </w:r>
      <w:r w:rsidR="00536E58">
        <w:t xml:space="preserve"> explains the technical definition of each of these principles</w:t>
      </w:r>
      <w:r w:rsidR="00D0308D">
        <w:t xml:space="preserve"> in more detail</w:t>
      </w:r>
      <w:r>
        <w:t>.</w:t>
      </w:r>
    </w:p>
    <w:p w14:paraId="369C334D" w14:textId="5E3A7953" w:rsidR="00B52D88" w:rsidRDefault="00151ABE" w:rsidP="00B52D88">
      <w:r>
        <w:rPr>
          <w:lang w:val="en-GB" w:eastAsia="zh-CN"/>
        </w:rPr>
        <w:t>The explanatory note also</w:t>
      </w:r>
      <w:r w:rsidR="00B513E7">
        <w:rPr>
          <w:lang w:val="en-GB" w:eastAsia="zh-CN"/>
        </w:rPr>
        <w:t xml:space="preserve"> </w:t>
      </w:r>
      <w:r w:rsidR="00B513E7">
        <w:t>encourage</w:t>
      </w:r>
      <w:r w:rsidR="00030350">
        <w:t>s</w:t>
      </w:r>
      <w:r w:rsidR="00B513E7">
        <w:t xml:space="preserve"> water businesses to have negotiation protocols, and to make certain information available to connection applicants, to inform negotiations and decisions regarding </w:t>
      </w:r>
      <w:r w:rsidR="004238B8">
        <w:t>new</w:t>
      </w:r>
      <w:r w:rsidR="000B579D">
        <w:t xml:space="preserve"> customer contributions</w:t>
      </w:r>
      <w:r w:rsidR="00B513E7">
        <w:t>.</w:t>
      </w:r>
      <w:r w:rsidR="00B513E7">
        <w:rPr>
          <w:rStyle w:val="FootnoteReference"/>
        </w:rPr>
        <w:footnoteReference w:id="30"/>
      </w:r>
      <w:r w:rsidR="00B52D88">
        <w:t xml:space="preserve"> The </w:t>
      </w:r>
      <w:r w:rsidR="00B72394">
        <w:t>explanatory note</w:t>
      </w:r>
      <w:r w:rsidR="00B52D88">
        <w:t xml:space="preserve"> considered that reasonable industry practice will also see water businesses prepare and publish:</w:t>
      </w:r>
    </w:p>
    <w:p w14:paraId="2168F022" w14:textId="77777777" w:rsidR="00B52D88" w:rsidRPr="00CC0C58" w:rsidRDefault="00B52D88" w:rsidP="000E201E">
      <w:pPr>
        <w:pStyle w:val="ListBullet"/>
      </w:pPr>
      <w:r>
        <w:t xml:space="preserve">Development servicing plans that show the water business’s forecast timing and sequencing of infrastructure that will be required to service new </w:t>
      </w:r>
      <w:r w:rsidRPr="00CC0C58">
        <w:t>customers</w:t>
      </w:r>
      <w:r>
        <w:t xml:space="preserve">. </w:t>
      </w:r>
    </w:p>
    <w:p w14:paraId="51D1160D" w14:textId="062C2DB5" w:rsidR="00B52D88" w:rsidRDefault="00B52D88" w:rsidP="000E201E">
      <w:pPr>
        <w:pStyle w:val="ListBullet"/>
      </w:pPr>
      <w:r>
        <w:t>Negotiation protocols including references to pricing principles and dispute resolution details.</w:t>
      </w:r>
    </w:p>
    <w:p w14:paraId="5D47D86C" w14:textId="3DF325A7" w:rsidR="00151ABE" w:rsidRPr="000E201E" w:rsidRDefault="00151ABE" w:rsidP="000A7423">
      <w:pPr>
        <w:pStyle w:val="ListBullet"/>
      </w:pPr>
      <w:r w:rsidRPr="000E201E">
        <w:t>Explanations of where and when standard NCC appl</w:t>
      </w:r>
      <w:r w:rsidR="00216CB0">
        <w:t>ies</w:t>
      </w:r>
      <w:r w:rsidRPr="000E201E">
        <w:t>, and circumstances in which a developer or water business may introduce a negotiated NCC.</w:t>
      </w:r>
    </w:p>
    <w:p w14:paraId="7BF6FBD7" w14:textId="77777777" w:rsidR="002D0C99" w:rsidRDefault="002D0C99" w:rsidP="006F663F">
      <w:pPr>
        <w:pStyle w:val="Heading3"/>
      </w:pPr>
      <w:bookmarkStart w:id="32" w:name="_Toc173487065"/>
      <w:bookmarkStart w:id="33" w:name="_Toc173844759"/>
      <w:bookmarkStart w:id="34" w:name="_Toc174348956"/>
      <w:r w:rsidRPr="00180A67">
        <w:t>Information</w:t>
      </w:r>
      <w:r>
        <w:t xml:space="preserve"> requirements</w:t>
      </w:r>
      <w:bookmarkEnd w:id="32"/>
      <w:bookmarkEnd w:id="33"/>
      <w:bookmarkEnd w:id="34"/>
    </w:p>
    <w:p w14:paraId="4D286283" w14:textId="77777777" w:rsidR="002D0C99" w:rsidRDefault="002D0C99" w:rsidP="002D0C99">
      <w:r>
        <w:t xml:space="preserve">Our price review guidance papers also outline certain information requirements that must be met by water businesses. For example, our 2023 and 2024 price review guidance papers required that water businesses’ pricing proposals must: </w:t>
      </w:r>
    </w:p>
    <w:p w14:paraId="21581BBA" w14:textId="270EC15D" w:rsidR="007A3BD4" w:rsidRDefault="00A11707" w:rsidP="00BA3C5C">
      <w:pPr>
        <w:pStyle w:val="ListBullet"/>
      </w:pPr>
      <w:r w:rsidRPr="00A11707">
        <w:lastRenderedPageBreak/>
        <w:t xml:space="preserve">Specify the proposed </w:t>
      </w:r>
      <w:r w:rsidR="000F0508">
        <w:t>NCCs</w:t>
      </w:r>
      <w:r w:rsidRPr="00A11707">
        <w:t xml:space="preserve"> and how they are to be applied – for example by service (customer class) (e.g. water, sewerage, recycled water), location or development type (e.g. infill, greenfield).</w:t>
      </w:r>
      <w:r w:rsidR="00893014" w:rsidRPr="00893014">
        <w:t xml:space="preserve"> </w:t>
      </w:r>
    </w:p>
    <w:p w14:paraId="4C2C63C5" w14:textId="4FF232FF" w:rsidR="007A0305" w:rsidRDefault="00893014" w:rsidP="00BA3C5C">
      <w:pPr>
        <w:pStyle w:val="ListBullet"/>
      </w:pPr>
      <w:r w:rsidRPr="00A31CDF">
        <w:t xml:space="preserve">Provide the model(s) used to calculate the maximum </w:t>
      </w:r>
      <w:r w:rsidR="00886D1B">
        <w:t>NCCs</w:t>
      </w:r>
      <w:r w:rsidRPr="00A31CDF">
        <w:t xml:space="preserve">, including accompanying notes describing the data sources and input assumptions used, </w:t>
      </w:r>
      <w:proofErr w:type="gramStart"/>
      <w:r w:rsidRPr="00A31CDF">
        <w:t>in order for</w:t>
      </w:r>
      <w:proofErr w:type="gramEnd"/>
      <w:r w:rsidRPr="00A31CDF">
        <w:t xml:space="preserve"> us to assess that proposed [standard] </w:t>
      </w:r>
      <w:r>
        <w:t>N</w:t>
      </w:r>
      <w:r w:rsidR="000E47F5">
        <w:t>CCs</w:t>
      </w:r>
      <w:r w:rsidRPr="00A31CDF">
        <w:t xml:space="preserve"> have been established in accordance with </w:t>
      </w:r>
      <w:r w:rsidR="003920BB">
        <w:t xml:space="preserve">the </w:t>
      </w:r>
      <w:r w:rsidR="00806925">
        <w:t>NCC</w:t>
      </w:r>
      <w:r w:rsidR="00F763D7" w:rsidRPr="00A31CDF">
        <w:t xml:space="preserve"> </w:t>
      </w:r>
      <w:r w:rsidRPr="00A31CDF">
        <w:t>pricing principles and that the same financial parameters have been used as those in the regulatory building block revenue and RAB model (the financial model template).</w:t>
      </w:r>
    </w:p>
    <w:p w14:paraId="5DFC550E" w14:textId="1196200A" w:rsidR="007A0305" w:rsidRDefault="00A31CDF" w:rsidP="00BA3C5C">
      <w:pPr>
        <w:pStyle w:val="ListBullet"/>
      </w:pPr>
      <w:r w:rsidRPr="00A31CDF">
        <w:t>Provide evidence of consultation with connection applicants</w:t>
      </w:r>
      <w:r w:rsidRPr="00A31CDF" w:rsidDel="00A27539">
        <w:t xml:space="preserve"> </w:t>
      </w:r>
      <w:r w:rsidRPr="00A31CDF">
        <w:t xml:space="preserve">and how their views have informed the proposed charges, particularly if proposed standard </w:t>
      </w:r>
      <w:r w:rsidR="00A320F4">
        <w:t>N</w:t>
      </w:r>
      <w:r w:rsidR="00F173D8">
        <w:t>CC</w:t>
      </w:r>
      <w:r w:rsidR="00A320F4">
        <w:t>s</w:t>
      </w:r>
      <w:r w:rsidRPr="00A31CDF">
        <w:t xml:space="preserve"> are significantly higher than the existing </w:t>
      </w:r>
      <w:r w:rsidR="00040BB7">
        <w:t>NCCs</w:t>
      </w:r>
      <w:r w:rsidRPr="00A31CDF">
        <w:t>.</w:t>
      </w:r>
    </w:p>
    <w:p w14:paraId="3457E7C8" w14:textId="26906245" w:rsidR="00A31CDF" w:rsidRDefault="00A31CDF" w:rsidP="00BA3C5C">
      <w:pPr>
        <w:pStyle w:val="ListBullet"/>
      </w:pPr>
      <w:r w:rsidRPr="00A31CDF">
        <w:t xml:space="preserve">Provide details about how the forecast </w:t>
      </w:r>
      <w:r w:rsidR="00D75C68">
        <w:t>NCCs</w:t>
      </w:r>
      <w:r w:rsidRPr="00A31CDF">
        <w:t xml:space="preserve"> in the financial model template have been derived and explain how past outcomes for contributions have been considered, and assumptions about future connections growth.</w:t>
      </w:r>
    </w:p>
    <w:p w14:paraId="2B63BA80" w14:textId="77777777" w:rsidR="00D54C0A" w:rsidRPr="00D54C0A" w:rsidRDefault="00D54C0A" w:rsidP="00BA3C5C">
      <w:pPr>
        <w:pStyle w:val="ListBullet"/>
      </w:pPr>
      <w:r w:rsidRPr="00D54C0A">
        <w:t xml:space="preserve">Provide a copy of the negotiated </w:t>
      </w:r>
      <w:r w:rsidR="00A320F4">
        <w:t>N</w:t>
      </w:r>
      <w:r w:rsidR="00D01AE5">
        <w:t>CCs</w:t>
      </w:r>
      <w:r w:rsidRPr="00D54C0A">
        <w:t xml:space="preserve"> framework to be applied for the forthcoming regulatory period, including any proposed changes in track changes from the framework approved in the prior period.</w:t>
      </w:r>
    </w:p>
    <w:p w14:paraId="2BF687FC" w14:textId="0C901858" w:rsidR="002D0C99" w:rsidRDefault="002D0C99" w:rsidP="002D0C99">
      <w:r>
        <w:t xml:space="preserve">These requirements for information to be provided to us are in addition to those </w:t>
      </w:r>
      <w:r w:rsidR="003D05B3">
        <w:t>that</w:t>
      </w:r>
      <w:r>
        <w:t xml:space="preserve"> water businesses are already required to meet for customers when they issue a notice to a connection applicant to charge a contribution. Specifically, the Water Act</w:t>
      </w:r>
      <w:r w:rsidRPr="00AB1C0C">
        <w:rPr>
          <w:vertAlign w:val="superscript"/>
        </w:rPr>
        <w:footnoteReference w:id="31"/>
      </w:r>
      <w:r>
        <w:t xml:space="preserve"> requires that such notices include:</w:t>
      </w:r>
    </w:p>
    <w:p w14:paraId="2BCB8CF7" w14:textId="77777777" w:rsidR="002D0C99" w:rsidRDefault="002D0C99" w:rsidP="00BA3C5C">
      <w:pPr>
        <w:pStyle w:val="ListBullet"/>
      </w:pPr>
      <w:r>
        <w:t>the amount of the payment required</w:t>
      </w:r>
    </w:p>
    <w:p w14:paraId="3AEB9EF8" w14:textId="77777777" w:rsidR="002D0C99" w:rsidRDefault="002D0C99" w:rsidP="00BA3C5C">
      <w:pPr>
        <w:pStyle w:val="ListBullet"/>
      </w:pPr>
      <w:r>
        <w:t>the reason why the payment is required</w:t>
      </w:r>
    </w:p>
    <w:p w14:paraId="7C3E759E" w14:textId="77777777" w:rsidR="002D0C99" w:rsidRDefault="002D0C99" w:rsidP="00BA3C5C">
      <w:pPr>
        <w:pStyle w:val="ListBullet"/>
      </w:pPr>
      <w:r>
        <w:t>any works or services that have been or will be provided</w:t>
      </w:r>
    </w:p>
    <w:p w14:paraId="03333353" w14:textId="77777777" w:rsidR="002D0C99" w:rsidRDefault="002D0C99" w:rsidP="00BA3C5C">
      <w:pPr>
        <w:pStyle w:val="ListBullet"/>
      </w:pPr>
      <w:r>
        <w:t>the property in relation to which payment is required</w:t>
      </w:r>
    </w:p>
    <w:p w14:paraId="5E44B39E" w14:textId="77777777" w:rsidR="002D0C99" w:rsidRDefault="002D0C99" w:rsidP="00BA3C5C">
      <w:pPr>
        <w:pStyle w:val="ListBullet"/>
      </w:pPr>
      <w:r>
        <w:t>if payments are required in relation to a group of properties, the amounts required in relation to each property</w:t>
      </w:r>
    </w:p>
    <w:p w14:paraId="0CABA4A6" w14:textId="77777777" w:rsidR="002D0C99" w:rsidRDefault="002D0C99" w:rsidP="00BA3C5C">
      <w:pPr>
        <w:pStyle w:val="ListBullet"/>
      </w:pPr>
      <w:r>
        <w:t>the right of the owner to object and apply for a review by the water business in the first instance and then VCAT if they desire</w:t>
      </w:r>
    </w:p>
    <w:p w14:paraId="2FD81C2B" w14:textId="77777777" w:rsidR="002D0C99" w:rsidRDefault="002D0C99" w:rsidP="00BA3C5C">
      <w:pPr>
        <w:pStyle w:val="ListBullet"/>
      </w:pPr>
      <w:r>
        <w:t>that details of the proposed services and the costs are available for inspection, free of charge, at the water business’ office during normal business hours.</w:t>
      </w:r>
    </w:p>
    <w:p w14:paraId="10BD6960" w14:textId="12A727D6" w:rsidR="00BA3C5C" w:rsidRPr="000B5811" w:rsidRDefault="00BA3C5C" w:rsidP="00BA3C5C">
      <w:r>
        <w:t xml:space="preserve">Charging an approved </w:t>
      </w:r>
      <w:r w:rsidR="0010638A">
        <w:t>NCC</w:t>
      </w:r>
      <w:r>
        <w:t xml:space="preserve"> does not remove these statutory obligations on water businesses. </w:t>
      </w:r>
    </w:p>
    <w:p w14:paraId="4EB92160" w14:textId="4AD12CBC" w:rsidR="00C31D5E" w:rsidRDefault="00C31D5E" w:rsidP="00086073">
      <w:pPr>
        <w:pStyle w:val="Heading2"/>
      </w:pPr>
      <w:bookmarkStart w:id="35" w:name="_Toc173487066"/>
      <w:bookmarkStart w:id="36" w:name="_Toc174348957"/>
      <w:r>
        <w:lastRenderedPageBreak/>
        <w:t>Water Act 1989 (Vic)</w:t>
      </w:r>
      <w:bookmarkEnd w:id="35"/>
      <w:bookmarkEnd w:id="36"/>
    </w:p>
    <w:p w14:paraId="6D5E9D42" w14:textId="117DB46D" w:rsidR="00E22235" w:rsidRDefault="00E22235" w:rsidP="00E22235">
      <w:r>
        <w:t xml:space="preserve">The </w:t>
      </w:r>
      <w:r w:rsidRPr="00C31D5E">
        <w:t>Water Act 1989 (Vic)</w:t>
      </w:r>
      <w:r>
        <w:t xml:space="preserve"> </w:t>
      </w:r>
      <w:r w:rsidRPr="00AE50B0">
        <w:t xml:space="preserve">governs water businesses’ rights and obligations in relation to new </w:t>
      </w:r>
      <w:r w:rsidR="005E5B57">
        <w:t xml:space="preserve">customer contributions and </w:t>
      </w:r>
      <w:r w:rsidRPr="00AE50B0">
        <w:t>new connections</w:t>
      </w:r>
      <w:r>
        <w:t>. It requires that</w:t>
      </w:r>
      <w:r w:rsidR="00824143">
        <w:t xml:space="preserve"> contributions</w:t>
      </w:r>
      <w:r>
        <w:t xml:space="preserve"> are fair and reasonable, </w:t>
      </w:r>
      <w:proofErr w:type="gramStart"/>
      <w:r w:rsidRPr="009F7B83">
        <w:t>taking into account</w:t>
      </w:r>
      <w:proofErr w:type="gramEnd"/>
      <w:r w:rsidRPr="009F7B83">
        <w:t xml:space="preserve"> the benefit to that property relative to the benefit to other properties</w:t>
      </w:r>
      <w:r>
        <w:t>.</w:t>
      </w:r>
      <w:r>
        <w:rPr>
          <w:rStyle w:val="FootnoteReference"/>
        </w:rPr>
        <w:footnoteReference w:id="32"/>
      </w:r>
      <w:r>
        <w:t xml:space="preserve"> As noted above, the pricing principles in our guidance represent what we would expect </w:t>
      </w:r>
      <w:r w:rsidRPr="00C76024">
        <w:t xml:space="preserve">to see </w:t>
      </w:r>
      <w:r>
        <w:t>for new customer contributions to be considered</w:t>
      </w:r>
      <w:r w:rsidRPr="00C76024">
        <w:t xml:space="preserve"> fair and reasonable as required by the Water Act</w:t>
      </w:r>
      <w:r>
        <w:t xml:space="preserve">. </w:t>
      </w:r>
    </w:p>
    <w:p w14:paraId="61C3E562" w14:textId="3EA4D6C8" w:rsidR="00E22235" w:rsidRDefault="00E22235" w:rsidP="00E22235">
      <w:r>
        <w:t xml:space="preserve">The Water Act also outlines requirements for information to be provided to connection applicants when issued with a notice by a water business requiring payment of </w:t>
      </w:r>
      <w:r w:rsidR="00AC6450">
        <w:t>NCCs</w:t>
      </w:r>
      <w:r>
        <w:t>.</w:t>
      </w:r>
      <w:r>
        <w:rPr>
          <w:rStyle w:val="FootnoteReference"/>
        </w:rPr>
        <w:footnoteReference w:id="33"/>
      </w:r>
      <w:r>
        <w:t xml:space="preserve"> </w:t>
      </w:r>
    </w:p>
    <w:p w14:paraId="3343DCE9" w14:textId="506E31D7" w:rsidR="00E22235" w:rsidRDefault="00E22235" w:rsidP="00E22235">
      <w:r>
        <w:t xml:space="preserve">The Water Act </w:t>
      </w:r>
      <w:r w:rsidR="0003082B">
        <w:t>further</w:t>
      </w:r>
      <w:r>
        <w:t xml:space="preserve"> provides a process to resolve disputes between a water business and a connection applicant </w:t>
      </w:r>
      <w:r w:rsidR="003B4321">
        <w:t xml:space="preserve">when </w:t>
      </w:r>
      <w:r>
        <w:t xml:space="preserve">any objections raised in relation to </w:t>
      </w:r>
      <w:r w:rsidR="00FF0EC9">
        <w:t>NCCs</w:t>
      </w:r>
      <w:r>
        <w:t xml:space="preserve"> on the grounds specified in the Water Act.</w:t>
      </w:r>
      <w:r>
        <w:rPr>
          <w:rStyle w:val="FootnoteReference"/>
        </w:rPr>
        <w:footnoteReference w:id="34"/>
      </w:r>
      <w:r>
        <w:t xml:space="preserve"> This includes a mechanism to have the dispute independently reviewed and decided by the Victorian Civil and Administrative </w:t>
      </w:r>
      <w:r w:rsidR="00A611D8">
        <w:t>Tribunal</w:t>
      </w:r>
      <w:r>
        <w:t>.</w:t>
      </w:r>
      <w:r>
        <w:rPr>
          <w:rStyle w:val="FootnoteReference"/>
        </w:rPr>
        <w:footnoteReference w:id="35"/>
      </w:r>
      <w:r>
        <w:t xml:space="preserve">  </w:t>
      </w:r>
    </w:p>
    <w:p w14:paraId="4D7E973B" w14:textId="57B799CE" w:rsidR="00E22235" w:rsidRDefault="00E22235" w:rsidP="00E22235">
      <w:r>
        <w:t>The Water Act also provides arrangements for control over connections to a water business’s works.</w:t>
      </w:r>
      <w:r>
        <w:rPr>
          <w:rStyle w:val="FootnoteReference"/>
        </w:rPr>
        <w:footnoteReference w:id="36"/>
      </w:r>
      <w:r>
        <w:t xml:space="preserve"> This is only possible on successful application to and approval by the water business.</w:t>
      </w:r>
      <w:r>
        <w:rPr>
          <w:rStyle w:val="FootnoteReference"/>
        </w:rPr>
        <w:footnoteReference w:id="37"/>
      </w:r>
      <w:r>
        <w:t xml:space="preserve"> It is an offence to connect to a water business’s works without the required approval.</w:t>
      </w:r>
      <w:r>
        <w:rPr>
          <w:rStyle w:val="FootnoteReference"/>
        </w:rPr>
        <w:footnoteReference w:id="38"/>
      </w:r>
      <w:r>
        <w:t xml:space="preserve"> N</w:t>
      </w:r>
      <w:r w:rsidR="008240E3">
        <w:t>CCs</w:t>
      </w:r>
      <w:r>
        <w:t xml:space="preserve"> are usually required to be paid when a connection applicant applies to a water business to make a new or augment an existing connection to a water business’s works.</w:t>
      </w:r>
    </w:p>
    <w:p w14:paraId="05B320A8" w14:textId="77777777" w:rsidR="00DF1627" w:rsidRDefault="00DF1627" w:rsidP="00E22235">
      <w:pPr>
        <w:sectPr w:rsidR="00DF1627" w:rsidSect="004D72B3">
          <w:footerReference w:type="default" r:id="rId25"/>
          <w:pgSz w:w="11906" w:h="16838" w:code="9"/>
          <w:pgMar w:top="1134" w:right="1134" w:bottom="1134" w:left="1134" w:header="709" w:footer="692" w:gutter="0"/>
          <w:cols w:space="708"/>
          <w:docGrid w:linePitch="360"/>
        </w:sectPr>
      </w:pPr>
    </w:p>
    <w:p w14:paraId="0F81E4C5" w14:textId="6854A55D" w:rsidR="00710792" w:rsidRPr="006711A2" w:rsidRDefault="00C93CD4" w:rsidP="003F377C">
      <w:pPr>
        <w:pStyle w:val="Heading1numbered"/>
        <w:ind w:left="0" w:firstLine="0"/>
      </w:pPr>
      <w:bookmarkStart w:id="37" w:name="_Toc174348958"/>
      <w:r>
        <w:lastRenderedPageBreak/>
        <w:t>A</w:t>
      </w:r>
      <w:r w:rsidR="0086554A">
        <w:t xml:space="preserve"> principles-based</w:t>
      </w:r>
      <w:r w:rsidR="009860FB">
        <w:t xml:space="preserve"> </w:t>
      </w:r>
      <w:r w:rsidR="003005D6">
        <w:t>new customer contributions</w:t>
      </w:r>
      <w:r w:rsidR="009860FB">
        <w:t xml:space="preserve"> framework</w:t>
      </w:r>
      <w:bookmarkEnd w:id="37"/>
    </w:p>
    <w:p w14:paraId="5EB957D6" w14:textId="1B7B011A" w:rsidR="00804CD6" w:rsidRPr="00D65D46" w:rsidRDefault="002D6625" w:rsidP="00F94D8E">
      <w:r w:rsidRPr="00D65D46">
        <w:t xml:space="preserve">Our new customer contributions </w:t>
      </w:r>
      <w:r w:rsidR="00BB73F2">
        <w:t xml:space="preserve">(NCC) </w:t>
      </w:r>
      <w:r w:rsidRPr="00D65D46">
        <w:t>framework is a principles</w:t>
      </w:r>
      <w:r w:rsidR="003003ED" w:rsidRPr="00D65D46">
        <w:t>-</w:t>
      </w:r>
      <w:r w:rsidRPr="00D65D46">
        <w:t>based framework, that is a hybrid of levying charges on new developments and water businesses recovering its infrastructure costs through water and sewerage charges.</w:t>
      </w:r>
      <w:r w:rsidR="00F818F5" w:rsidRPr="00D65D46">
        <w:t xml:space="preserve"> </w:t>
      </w:r>
    </w:p>
    <w:p w14:paraId="5C1A4AB7" w14:textId="074990F9" w:rsidR="00800723" w:rsidRPr="001D6FB6" w:rsidRDefault="00B5226F" w:rsidP="00A62812">
      <w:r w:rsidRPr="001D6FB6">
        <w:t>The</w:t>
      </w:r>
      <w:r w:rsidR="00A62812" w:rsidRPr="001D6FB6">
        <w:t xml:space="preserve"> </w:t>
      </w:r>
      <w:r w:rsidR="00CE0459" w:rsidRPr="001D6FB6">
        <w:t>p</w:t>
      </w:r>
      <w:r w:rsidR="00A62812" w:rsidRPr="001D6FB6">
        <w:t xml:space="preserve">rinciples-based </w:t>
      </w:r>
      <w:r w:rsidR="00BB73F2">
        <w:t>NCC</w:t>
      </w:r>
      <w:r w:rsidR="00A62812" w:rsidRPr="001D6FB6">
        <w:t xml:space="preserve"> framework promotes a flexible arbitrate and negotiate connection regime </w:t>
      </w:r>
      <w:r w:rsidR="00462E27" w:rsidRPr="001D6FB6">
        <w:t>in line with</w:t>
      </w:r>
      <w:r w:rsidR="00A62812" w:rsidRPr="001D6FB6">
        <w:t xml:space="preserve"> the </w:t>
      </w:r>
      <w:r w:rsidR="00771B71" w:rsidRPr="001D6FB6">
        <w:t>provisions</w:t>
      </w:r>
      <w:r w:rsidR="00A62812" w:rsidRPr="001D6FB6">
        <w:t xml:space="preserve"> </w:t>
      </w:r>
      <w:r w:rsidR="003E0EF1" w:rsidRPr="001D6FB6">
        <w:t xml:space="preserve">in the </w:t>
      </w:r>
      <w:r w:rsidR="003E0EF1" w:rsidRPr="001D6FB6">
        <w:rPr>
          <w:i/>
        </w:rPr>
        <w:t>Water Act</w:t>
      </w:r>
      <w:r w:rsidR="00CB1FE6" w:rsidRPr="001D6FB6">
        <w:rPr>
          <w:i/>
        </w:rPr>
        <w:t xml:space="preserve"> </w:t>
      </w:r>
      <w:r w:rsidR="00C9297C" w:rsidRPr="001D6FB6">
        <w:rPr>
          <w:i/>
        </w:rPr>
        <w:t>1989</w:t>
      </w:r>
      <w:r w:rsidR="00CB1FE6" w:rsidRPr="001D6FB6">
        <w:t xml:space="preserve"> for </w:t>
      </w:r>
      <w:r w:rsidR="00642D75" w:rsidRPr="001D6FB6">
        <w:t>re</w:t>
      </w:r>
      <w:r w:rsidR="00E05F03" w:rsidRPr="001D6FB6">
        <w:t xml:space="preserve">questing contributions from </w:t>
      </w:r>
      <w:r w:rsidR="00F93DD4" w:rsidRPr="001D6FB6">
        <w:t xml:space="preserve">a </w:t>
      </w:r>
      <w:r w:rsidR="00E05F03" w:rsidRPr="001D6FB6">
        <w:t xml:space="preserve">property </w:t>
      </w:r>
      <w:r w:rsidR="00F93DD4" w:rsidRPr="001D6FB6">
        <w:t>owner</w:t>
      </w:r>
      <w:r w:rsidR="00CB1FE6" w:rsidRPr="001D6FB6">
        <w:t xml:space="preserve"> </w:t>
      </w:r>
      <w:r w:rsidR="003B058B" w:rsidRPr="001D6FB6">
        <w:t>for increased services</w:t>
      </w:r>
      <w:r w:rsidR="00EA7C39" w:rsidRPr="001D6FB6">
        <w:t>.</w:t>
      </w:r>
      <w:r w:rsidR="00B71048" w:rsidRPr="001D6FB6">
        <w:rPr>
          <w:rStyle w:val="FootnoteReference"/>
        </w:rPr>
        <w:footnoteReference w:id="39"/>
      </w:r>
      <w:r w:rsidR="00C83602" w:rsidRPr="001D6FB6">
        <w:t xml:space="preserve"> </w:t>
      </w:r>
    </w:p>
    <w:p w14:paraId="38429C8D" w14:textId="7E744044" w:rsidR="00767E10" w:rsidRPr="001D6FB6" w:rsidRDefault="002931B0" w:rsidP="00767E10">
      <w:r w:rsidRPr="001D6FB6">
        <w:t xml:space="preserve">With the principles-based framework </w:t>
      </w:r>
      <w:r w:rsidR="00A1735B" w:rsidRPr="001D6FB6">
        <w:t>water businesses</w:t>
      </w:r>
      <w:r w:rsidR="00940C00" w:rsidRPr="001D6FB6">
        <w:t>, b</w:t>
      </w:r>
      <w:r w:rsidR="00767E10" w:rsidRPr="001D6FB6">
        <w:t>ased on development and connection circumstances,</w:t>
      </w:r>
      <w:r w:rsidR="00903D8A" w:rsidRPr="001D6FB6">
        <w:t xml:space="preserve"> can choose</w:t>
      </w:r>
      <w:r w:rsidR="00767E10" w:rsidRPr="001D6FB6">
        <w:t>:</w:t>
      </w:r>
    </w:p>
    <w:p w14:paraId="6E7CA1BD" w14:textId="77777777" w:rsidR="00767E10" w:rsidRPr="001D6FB6" w:rsidRDefault="00767E10" w:rsidP="0015675A">
      <w:pPr>
        <w:pStyle w:val="ListBullet"/>
      </w:pPr>
      <w:r w:rsidRPr="001D6FB6">
        <w:t>when to negotiate versus propose a standard developer charge, noting customers rights to dispute both forms</w:t>
      </w:r>
    </w:p>
    <w:p w14:paraId="3E55CBAB" w14:textId="0F962578" w:rsidR="00767E10" w:rsidRPr="001D6FB6" w:rsidRDefault="00767E10" w:rsidP="0015675A">
      <w:pPr>
        <w:pStyle w:val="ListBullet"/>
      </w:pPr>
      <w:r w:rsidRPr="001D6FB6">
        <w:t xml:space="preserve">how many standard </w:t>
      </w:r>
      <w:r w:rsidR="00944152">
        <w:t>NCCs</w:t>
      </w:r>
      <w:r w:rsidRPr="001D6FB6">
        <w:t xml:space="preserve"> to propose and which eligibility circumstances each will apply, noting that having multiple approved </w:t>
      </w:r>
      <w:r w:rsidR="00041186">
        <w:t>NCCs</w:t>
      </w:r>
      <w:r w:rsidRPr="001D6FB6">
        <w:t xml:space="preserve"> can facilitate greater cost reflectivity. A single applicable standard developer charge may increase the need for more negotiated connections or augmentations to support cost reflectivity</w:t>
      </w:r>
    </w:p>
    <w:p w14:paraId="7C732A45" w14:textId="733E4C86" w:rsidR="00767E10" w:rsidRPr="001D6FB6" w:rsidRDefault="00767E10" w:rsidP="0015675A">
      <w:pPr>
        <w:pStyle w:val="ListBullet"/>
      </w:pPr>
      <w:r w:rsidRPr="001D6FB6">
        <w:t xml:space="preserve">what incremental costs to attribute to </w:t>
      </w:r>
      <w:r w:rsidR="00041186">
        <w:t>NCCs</w:t>
      </w:r>
    </w:p>
    <w:p w14:paraId="6929A062" w14:textId="37D7D511" w:rsidR="00767E10" w:rsidRPr="001D6FB6" w:rsidRDefault="00767E10" w:rsidP="0015675A">
      <w:pPr>
        <w:pStyle w:val="ListBullet"/>
      </w:pPr>
      <w:r w:rsidRPr="001D6FB6">
        <w:t xml:space="preserve">what incremental benefits to attribute to </w:t>
      </w:r>
      <w:r w:rsidR="004C6244">
        <w:t>NCCs</w:t>
      </w:r>
      <w:r w:rsidRPr="001D6FB6">
        <w:t xml:space="preserve"> either as incremental revenue or as costs avoided by the water business</w:t>
      </w:r>
    </w:p>
    <w:p w14:paraId="00A30F04" w14:textId="60D90FCC" w:rsidR="00A62812" w:rsidRPr="001D6FB6" w:rsidRDefault="00767E10" w:rsidP="0015675A">
      <w:pPr>
        <w:pStyle w:val="ListBullet"/>
      </w:pPr>
      <w:r w:rsidRPr="001D6FB6">
        <w:t>what time horizon to assess incremental costs and benefits over.</w:t>
      </w:r>
    </w:p>
    <w:p w14:paraId="46A65142" w14:textId="62CFF365" w:rsidR="002D50FF" w:rsidRDefault="0022744F" w:rsidP="003F377C">
      <w:pPr>
        <w:pStyle w:val="Heading2numbered"/>
        <w:ind w:left="0" w:firstLine="0"/>
      </w:pPr>
      <w:bookmarkStart w:id="38" w:name="_Toc174348959"/>
      <w:r>
        <w:t xml:space="preserve">Purpose of </w:t>
      </w:r>
      <w:r w:rsidR="005D4C65">
        <w:t>new customer contributions</w:t>
      </w:r>
      <w:bookmarkEnd w:id="38"/>
    </w:p>
    <w:p w14:paraId="304A1AD6" w14:textId="7CEADBF9" w:rsidR="00866437" w:rsidRDefault="00866437" w:rsidP="00866437">
      <w:r>
        <w:t xml:space="preserve">Water businesses earn revenue mostly from the fixed and variable charges levied on water and sewerage customers to pay for water and sewerage infrastructure and associated services. </w:t>
      </w:r>
      <w:r w:rsidR="0001027B">
        <w:t>NCCs</w:t>
      </w:r>
      <w:r>
        <w:t xml:space="preserve"> are calculated to earn the difference between the cost of servicing a development in a specific area and the future revenues from the water and sewerage charges from customers over the life of the infrastructure.</w:t>
      </w:r>
      <w:r w:rsidR="00150A9E">
        <w:t xml:space="preserve"> </w:t>
      </w:r>
    </w:p>
    <w:p w14:paraId="1D3C1987" w14:textId="09C49D71" w:rsidR="004A09B3" w:rsidRDefault="004A09B3" w:rsidP="004A09B3">
      <w:r>
        <w:t xml:space="preserve">Providing water and sewerage infrastructure </w:t>
      </w:r>
      <w:r w:rsidR="004A1B15">
        <w:t>and</w:t>
      </w:r>
      <w:r>
        <w:t xml:space="preserve"> related services to a new development typically involves investing capital in two main areas: the internal network within the development itself and the connection to, and possibly expansion of, the broader distribution network.</w:t>
      </w:r>
    </w:p>
    <w:p w14:paraId="0F0A2D72" w14:textId="47DE7D51" w:rsidR="00442549" w:rsidRDefault="004A09B3" w:rsidP="004A09B3">
      <w:r>
        <w:lastRenderedPageBreak/>
        <w:t xml:space="preserve">The internal network, or reticulation network, </w:t>
      </w:r>
      <w:r w:rsidR="007E7A64">
        <w:t xml:space="preserve">is </w:t>
      </w:r>
      <w:r>
        <w:t xml:space="preserve">often constructed by the </w:t>
      </w:r>
      <w:r w:rsidR="003C63FC">
        <w:t xml:space="preserve">connection applicant </w:t>
      </w:r>
      <w:r>
        <w:t xml:space="preserve">and later usually handed over to the water business </w:t>
      </w:r>
      <w:r w:rsidR="002F13CC">
        <w:t xml:space="preserve">to operate and maintain </w:t>
      </w:r>
      <w:r>
        <w:t>as a gifted asset</w:t>
      </w:r>
      <w:r w:rsidR="00F77D70">
        <w:t>. That network typically</w:t>
      </w:r>
      <w:r>
        <w:t xml:space="preserve"> includes elements such as pipelines and sew</w:t>
      </w:r>
      <w:r w:rsidR="00991D45">
        <w:t>er</w:t>
      </w:r>
      <w:r>
        <w:t>age systems within the development boundaries.</w:t>
      </w:r>
    </w:p>
    <w:p w14:paraId="17A30D40" w14:textId="6FFA632C" w:rsidR="004A09B3" w:rsidRDefault="004A09B3" w:rsidP="004A09B3">
      <w:r>
        <w:t>However, meeting the needs of new developments also frequently requires the water business to invest</w:t>
      </w:r>
      <w:r w:rsidR="000C22CD">
        <w:t xml:space="preserve"> in new or expanded assets</w:t>
      </w:r>
      <w:r>
        <w:t>.</w:t>
      </w:r>
      <w:r w:rsidR="001D140F">
        <w:t xml:space="preserve"> </w:t>
      </w:r>
      <w:r>
        <w:t>These investments may encompass localised assets tailored to the specific development, such as water storage facilities and local treatment plants. Additionally, they may involve distribution assets that serve multiple developments, like water mains and sew</w:t>
      </w:r>
      <w:r w:rsidR="00CB441C">
        <w:t>er</w:t>
      </w:r>
      <w:r>
        <w:t xml:space="preserve">age systems. </w:t>
      </w:r>
      <w:r w:rsidR="005314C1">
        <w:t>T</w:t>
      </w:r>
      <w:r>
        <w:t xml:space="preserve">here could </w:t>
      </w:r>
      <w:r w:rsidR="005314C1">
        <w:t xml:space="preserve">also </w:t>
      </w:r>
      <w:r>
        <w:t>be investments in headworks, which are treatment and storage facilities benefiting the wider customer base.</w:t>
      </w:r>
    </w:p>
    <w:p w14:paraId="7A7E921F" w14:textId="77777777" w:rsidR="001D140F" w:rsidRDefault="00F11C46" w:rsidP="00827854">
      <w:r w:rsidRPr="00642285">
        <w:t xml:space="preserve">An </w:t>
      </w:r>
      <w:r w:rsidR="00F27F87" w:rsidRPr="00642285">
        <w:t>alternative</w:t>
      </w:r>
      <w:r w:rsidR="008B1ABA" w:rsidRPr="00642285">
        <w:t xml:space="preserve"> to levying </w:t>
      </w:r>
      <w:r w:rsidR="00A320F4">
        <w:t>N</w:t>
      </w:r>
      <w:r w:rsidR="00761557">
        <w:t>CCs</w:t>
      </w:r>
      <w:r w:rsidR="00F27F87" w:rsidRPr="00642285">
        <w:t xml:space="preserve"> is to fully cost recover</w:t>
      </w:r>
      <w:r w:rsidR="00B8498E" w:rsidRPr="00642285">
        <w:t xml:space="preserve"> infrastructure costs</w:t>
      </w:r>
      <w:r w:rsidR="00F27F87" w:rsidRPr="00642285">
        <w:t xml:space="preserve"> </w:t>
      </w:r>
      <w:r w:rsidR="00813ED6" w:rsidRPr="00642285">
        <w:t xml:space="preserve">for locational specific development </w:t>
      </w:r>
      <w:r w:rsidR="00B8498E" w:rsidRPr="00642285">
        <w:t xml:space="preserve">through </w:t>
      </w:r>
      <w:r w:rsidR="00632D24" w:rsidRPr="00642285">
        <w:t xml:space="preserve">general </w:t>
      </w:r>
      <w:r w:rsidR="00B8498E" w:rsidRPr="00642285">
        <w:t>water and sewerage charges</w:t>
      </w:r>
      <w:r w:rsidR="0006759C" w:rsidRPr="00642285">
        <w:t>.</w:t>
      </w:r>
      <w:r w:rsidR="001D140F">
        <w:t xml:space="preserve"> </w:t>
      </w:r>
    </w:p>
    <w:p w14:paraId="64B8A3C4" w14:textId="77777777" w:rsidR="003D4236" w:rsidRDefault="001D140F" w:rsidP="00827854">
      <w:r>
        <w:t xml:space="preserve">One implication of this </w:t>
      </w:r>
      <w:r w:rsidR="00295E3A">
        <w:t>option,</w:t>
      </w:r>
      <w:r>
        <w:t xml:space="preserve"> however, is that it could distort signals for efficient investment. It may also</w:t>
      </w:r>
      <w:r w:rsidR="00193154" w:rsidRPr="00642285">
        <w:t xml:space="preserve"> require a move away from the current </w:t>
      </w:r>
      <w:r w:rsidR="004A64EE" w:rsidRPr="00642285">
        <w:t>uniform or</w:t>
      </w:r>
      <w:r w:rsidR="00193154" w:rsidRPr="00642285">
        <w:t xml:space="preserve"> </w:t>
      </w:r>
      <w:r w:rsidR="004A64EE" w:rsidRPr="00642285">
        <w:t>‘</w:t>
      </w:r>
      <w:r w:rsidR="00193154" w:rsidRPr="00642285">
        <w:t>postage stamp</w:t>
      </w:r>
      <w:r w:rsidR="004A64EE" w:rsidRPr="00642285">
        <w:t>’</w:t>
      </w:r>
      <w:r w:rsidR="00193154" w:rsidRPr="00642285">
        <w:t xml:space="preserve"> pricing for water and sewerage </w:t>
      </w:r>
      <w:r w:rsidR="002441F9" w:rsidRPr="00642285">
        <w:t xml:space="preserve">services to prices that reflect the growth of specific areas. </w:t>
      </w:r>
    </w:p>
    <w:p w14:paraId="0A5383E4" w14:textId="4D4C526C" w:rsidR="00797C4D" w:rsidRDefault="00797C4D" w:rsidP="004A09B3">
      <w:r>
        <w:t xml:space="preserve">Prior to adopting the principles-based approach from 2013, NCC </w:t>
      </w:r>
      <w:r w:rsidRPr="00797C4D">
        <w:t xml:space="preserve">price regulation </w:t>
      </w:r>
      <w:r w:rsidR="002012D3">
        <w:t xml:space="preserve">involved </w:t>
      </w:r>
      <w:r w:rsidRPr="00797C4D">
        <w:t>a fixed schedule of charges that proved problematic for its lack of flexibility, uncertain interpretation, and frequent disputes.</w:t>
      </w:r>
    </w:p>
    <w:p w14:paraId="6BE19BFA" w14:textId="5F06CF4F" w:rsidR="00AC5948" w:rsidRDefault="000E5FF6" w:rsidP="001C0EA9">
      <w:pPr>
        <w:sectPr w:rsidR="00AC5948" w:rsidSect="004D72B3">
          <w:footerReference w:type="default" r:id="rId26"/>
          <w:pgSz w:w="11906" w:h="16838" w:code="9"/>
          <w:pgMar w:top="1134" w:right="1134" w:bottom="1134" w:left="1134" w:header="709" w:footer="692" w:gutter="0"/>
          <w:cols w:space="708"/>
          <w:docGrid w:linePitch="360"/>
        </w:sectPr>
      </w:pPr>
      <w:r>
        <w:t xml:space="preserve">We have provided a </w:t>
      </w:r>
      <w:r w:rsidR="00CB193B">
        <w:t>timeline</w:t>
      </w:r>
      <w:r>
        <w:t xml:space="preserve"> </w:t>
      </w:r>
      <w:r w:rsidR="00C22F75">
        <w:t>in Figure 3.1</w:t>
      </w:r>
      <w:r w:rsidR="00AE0735">
        <w:t xml:space="preserve"> </w:t>
      </w:r>
      <w:r w:rsidR="00AA07A5">
        <w:t xml:space="preserve">of </w:t>
      </w:r>
      <w:r w:rsidR="00EF0858">
        <w:t xml:space="preserve">various NCC </w:t>
      </w:r>
      <w:r w:rsidR="00E21D88">
        <w:t xml:space="preserve">pricing approaches, </w:t>
      </w:r>
      <w:r w:rsidR="00335ADB">
        <w:t>and</w:t>
      </w:r>
      <w:r w:rsidR="003B19E5">
        <w:t xml:space="preserve"> the </w:t>
      </w:r>
      <w:r w:rsidR="00E21D88">
        <w:t>evolution</w:t>
      </w:r>
      <w:r w:rsidR="00B53116">
        <w:t xml:space="preserve"> to the </w:t>
      </w:r>
      <w:r w:rsidR="0056774A">
        <w:t>principles-based</w:t>
      </w:r>
      <w:r w:rsidR="00B53116">
        <w:t xml:space="preserve"> framework </w:t>
      </w:r>
      <w:r w:rsidR="00E21D88">
        <w:t>in 2013.</w:t>
      </w:r>
      <w:r w:rsidR="00C079B0">
        <w:t xml:space="preserve"> </w:t>
      </w:r>
      <w:r w:rsidR="00D14858">
        <w:t>S</w:t>
      </w:r>
      <w:r w:rsidR="00C079B0">
        <w:t xml:space="preserve">ince </w:t>
      </w:r>
      <w:r w:rsidR="00281EB0">
        <w:t>the princi</w:t>
      </w:r>
      <w:r w:rsidR="00B92DAB">
        <w:t xml:space="preserve">ples-based framework came </w:t>
      </w:r>
      <w:r w:rsidR="00A10D86">
        <w:t xml:space="preserve">into </w:t>
      </w:r>
      <w:r w:rsidR="00C52CA6">
        <w:t>place</w:t>
      </w:r>
      <w:r w:rsidR="00E21D88">
        <w:t xml:space="preserve"> in 2013</w:t>
      </w:r>
      <w:r w:rsidR="005C50EF">
        <w:t xml:space="preserve">, there </w:t>
      </w:r>
      <w:r w:rsidR="00DB3C34">
        <w:t>have</w:t>
      </w:r>
      <w:r w:rsidR="005C50EF">
        <w:t xml:space="preserve"> been relatively </w:t>
      </w:r>
      <w:r w:rsidR="008A299C">
        <w:t>few</w:t>
      </w:r>
      <w:r w:rsidR="001F1649">
        <w:t xml:space="preserve"> disputes between </w:t>
      </w:r>
      <w:r w:rsidR="003C63FC">
        <w:t>connection applicants</w:t>
      </w:r>
      <w:r w:rsidR="003C63FC" w:rsidDel="003C63FC">
        <w:t xml:space="preserve"> </w:t>
      </w:r>
      <w:r w:rsidR="001F1649">
        <w:t xml:space="preserve">and businesses over the calculation of </w:t>
      </w:r>
      <w:r w:rsidR="00501087">
        <w:t>new</w:t>
      </w:r>
      <w:r w:rsidR="000B579D">
        <w:t xml:space="preserve"> customer contributions</w:t>
      </w:r>
      <w:r w:rsidR="007835E7">
        <w:t xml:space="preserve"> compared to </w:t>
      </w:r>
      <w:r w:rsidR="00CD3CDA">
        <w:t>the past</w:t>
      </w:r>
      <w:r w:rsidR="00AC6C80">
        <w:t xml:space="preserve"> regimes</w:t>
      </w:r>
    </w:p>
    <w:p w14:paraId="2265E080" w14:textId="3FB12BC9" w:rsidR="00E67BBF" w:rsidRPr="00463B28" w:rsidRDefault="00036ABA" w:rsidP="00E67BBF">
      <w:pPr>
        <w:pStyle w:val="Heading2"/>
        <w:rPr>
          <w:color w:val="4986A0" w:themeColor="text2"/>
          <w:sz w:val="22"/>
          <w:szCs w:val="22"/>
        </w:rPr>
      </w:pPr>
      <w:bookmarkStart w:id="39" w:name="_Toc173844763"/>
      <w:bookmarkStart w:id="40" w:name="_Toc174348960"/>
      <w:r>
        <w:rPr>
          <w:b w:val="0"/>
          <w:noProof/>
        </w:rPr>
        <w:lastRenderedPageBreak/>
        <mc:AlternateContent>
          <mc:Choice Requires="wpg">
            <w:drawing>
              <wp:anchor distT="0" distB="0" distL="114300" distR="114300" simplePos="0" relativeHeight="251658245" behindDoc="0" locked="0" layoutInCell="1" allowOverlap="1" wp14:anchorId="26EBA900" wp14:editId="3E771A1D">
                <wp:simplePos x="0" y="0"/>
                <wp:positionH relativeFrom="column">
                  <wp:posOffset>-110490</wp:posOffset>
                </wp:positionH>
                <wp:positionV relativeFrom="paragraph">
                  <wp:posOffset>252095</wp:posOffset>
                </wp:positionV>
                <wp:extent cx="9855200" cy="5378450"/>
                <wp:effectExtent l="0" t="0" r="50800" b="12700"/>
                <wp:wrapNone/>
                <wp:docPr id="284097860" name="Group 8"/>
                <wp:cNvGraphicFramePr/>
                <a:graphic xmlns:a="http://schemas.openxmlformats.org/drawingml/2006/main">
                  <a:graphicData uri="http://schemas.microsoft.com/office/word/2010/wordprocessingGroup">
                    <wpg:wgp>
                      <wpg:cNvGrpSpPr/>
                      <wpg:grpSpPr>
                        <a:xfrm>
                          <a:off x="0" y="0"/>
                          <a:ext cx="9855200" cy="5378450"/>
                          <a:chOff x="0" y="0"/>
                          <a:chExt cx="9855200" cy="5378450"/>
                        </a:xfrm>
                      </wpg:grpSpPr>
                      <wps:wsp>
                        <wps:cNvPr id="225812665" name="Straight Arrow Connector 5"/>
                        <wps:cNvCnPr/>
                        <wps:spPr>
                          <a:xfrm flipV="1">
                            <a:off x="0" y="2374900"/>
                            <a:ext cx="9855200" cy="1022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3451206" name="Flowchart: Connector 7"/>
                        <wps:cNvSpPr/>
                        <wps:spPr>
                          <a:xfrm>
                            <a:off x="349250" y="2133600"/>
                            <a:ext cx="844062" cy="583565"/>
                          </a:xfrm>
                          <a:prstGeom prst="flowChartConnector">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679DC7" w14:textId="77777777" w:rsidR="00817866" w:rsidRPr="00954552" w:rsidRDefault="00817866" w:rsidP="00817866">
                              <w:pPr>
                                <w:spacing w:before="0" w:after="0" w:line="240" w:lineRule="auto"/>
                                <w:rPr>
                                  <w:sz w:val="20"/>
                                  <w:szCs w:val="20"/>
                                </w:rPr>
                              </w:pPr>
                              <w:r w:rsidRPr="00954552">
                                <w:rPr>
                                  <w:b/>
                                  <w:color w:val="FFFFFF" w:themeColor="background1"/>
                                  <w:sz w:val="20"/>
                                  <w:szCs w:val="20"/>
                                </w:rPr>
                                <w:t>Pre-2005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517636" name="Text Box 8"/>
                        <wps:cNvSpPr txBox="1"/>
                        <wps:spPr>
                          <a:xfrm>
                            <a:off x="184150" y="184150"/>
                            <a:ext cx="2413000" cy="1447800"/>
                          </a:xfrm>
                          <a:prstGeom prst="rect">
                            <a:avLst/>
                          </a:prstGeom>
                          <a:solidFill>
                            <a:schemeClr val="accent1"/>
                          </a:solidFill>
                          <a:ln w="6350">
                            <a:solidFill>
                              <a:schemeClr val="accent1"/>
                            </a:solidFill>
                          </a:ln>
                        </wps:spPr>
                        <wps:txbx>
                          <w:txbxContent>
                            <w:p w14:paraId="6E1CB9ED" w14:textId="77777777" w:rsidR="00817866" w:rsidRPr="00AC1427" w:rsidRDefault="00817866" w:rsidP="00817866">
                              <w:pPr>
                                <w:spacing w:before="0" w:after="0" w:line="240" w:lineRule="auto"/>
                                <w:jc w:val="center"/>
                                <w:rPr>
                                  <w:b/>
                                  <w:bCs/>
                                  <w:color w:val="FFFFFF" w:themeColor="background1"/>
                                </w:rPr>
                              </w:pPr>
                              <w:r w:rsidRPr="00AC1427">
                                <w:rPr>
                                  <w:b/>
                                  <w:bCs/>
                                  <w:color w:val="FFFFFF" w:themeColor="background1"/>
                                </w:rPr>
                                <w:t>Pre-2005</w:t>
                              </w:r>
                              <w:r>
                                <w:rPr>
                                  <w:b/>
                                  <w:bCs/>
                                  <w:color w:val="FFFFFF" w:themeColor="background1"/>
                                </w:rPr>
                                <w:t>:</w:t>
                              </w:r>
                              <w:r w:rsidRPr="00AC1427">
                                <w:rPr>
                                  <w:b/>
                                  <w:bCs/>
                                  <w:color w:val="FFFFFF" w:themeColor="background1"/>
                                </w:rPr>
                                <w:t xml:space="preserve"> </w:t>
                              </w:r>
                              <w:r w:rsidRPr="00AC1427">
                                <w:rPr>
                                  <w:b/>
                                  <w:bCs/>
                                  <w:color w:val="FFFFFF" w:themeColor="background1"/>
                                </w:rPr>
                                <w:br/>
                                <w:t>pre-regulation</w:t>
                              </w:r>
                            </w:p>
                            <w:p w14:paraId="5F15A2BF" w14:textId="77777777" w:rsidR="00817866" w:rsidRPr="008C1B54" w:rsidRDefault="00817866" w:rsidP="000A7423">
                              <w:pPr>
                                <w:pStyle w:val="ListParagraph"/>
                                <w:numPr>
                                  <w:ilvl w:val="0"/>
                                  <w:numId w:val="13"/>
                                </w:numPr>
                                <w:rPr>
                                  <w:color w:val="FFFFFF" w:themeColor="background1"/>
                                  <w:sz w:val="18"/>
                                  <w:szCs w:val="18"/>
                                </w:rPr>
                              </w:pPr>
                              <w:r>
                                <w:rPr>
                                  <w:color w:val="FFFFFF" w:themeColor="background1"/>
                                  <w:sz w:val="18"/>
                                  <w:szCs w:val="18"/>
                                </w:rPr>
                                <w:t>New customer contributions</w:t>
                              </w:r>
                              <w:r w:rsidRPr="00AC1427">
                                <w:rPr>
                                  <w:color w:val="FFFFFF" w:themeColor="background1"/>
                                  <w:sz w:val="18"/>
                                  <w:szCs w:val="18"/>
                                </w:rPr>
                                <w:t xml:space="preserve"> calculated using inconsisten</w:t>
                              </w:r>
                              <w:r w:rsidRPr="008C1B54">
                                <w:rPr>
                                  <w:color w:val="FFFFFF" w:themeColor="background1"/>
                                  <w:sz w:val="18"/>
                                  <w:szCs w:val="18"/>
                                </w:rPr>
                                <w:t>t</w:t>
                              </w:r>
                              <w:r w:rsidRPr="00AC1427">
                                <w:rPr>
                                  <w:color w:val="FFFFFF" w:themeColor="background1"/>
                                  <w:sz w:val="18"/>
                                  <w:szCs w:val="18"/>
                                </w:rPr>
                                <w:t xml:space="preserve"> methodolo</w:t>
                              </w:r>
                              <w:r w:rsidRPr="008C1B54">
                                <w:rPr>
                                  <w:color w:val="FFFFFF" w:themeColor="background1"/>
                                  <w:sz w:val="18"/>
                                  <w:szCs w:val="18"/>
                                </w:rPr>
                                <w:t>g</w:t>
                              </w:r>
                              <w:r w:rsidRPr="00AC1427">
                                <w:rPr>
                                  <w:color w:val="FFFFFF" w:themeColor="background1"/>
                                  <w:sz w:val="18"/>
                                  <w:szCs w:val="18"/>
                                </w:rPr>
                                <w:t>ies across i</w:t>
                              </w:r>
                              <w:r w:rsidRPr="008C1B54">
                                <w:rPr>
                                  <w:color w:val="FFFFFF" w:themeColor="background1"/>
                                  <w:sz w:val="18"/>
                                  <w:szCs w:val="18"/>
                                </w:rPr>
                                <w:t>ndustry</w:t>
                              </w:r>
                            </w:p>
                            <w:p w14:paraId="5C1157B8" w14:textId="77777777" w:rsidR="00817866" w:rsidRPr="00AC1427" w:rsidRDefault="00817866" w:rsidP="000A7423">
                              <w:pPr>
                                <w:pStyle w:val="ListParagraph"/>
                                <w:numPr>
                                  <w:ilvl w:val="0"/>
                                  <w:numId w:val="13"/>
                                </w:numPr>
                                <w:rPr>
                                  <w:color w:val="FFFFFF" w:themeColor="background1"/>
                                  <w:sz w:val="18"/>
                                  <w:szCs w:val="18"/>
                                </w:rPr>
                              </w:pPr>
                              <w:r w:rsidRPr="008C1B54">
                                <w:rPr>
                                  <w:color w:val="FFFFFF" w:themeColor="background1"/>
                                  <w:sz w:val="18"/>
                                  <w:szCs w:val="18"/>
                                </w:rPr>
                                <w:t>Large number of disputes as developers challenged charges</w:t>
                              </w:r>
                              <w:r>
                                <w:rPr>
                                  <w:color w:val="FFFFFF" w:themeColor="background1"/>
                                  <w:sz w:val="18"/>
                                  <w:szCs w:val="18"/>
                                </w:rPr>
                                <w:t>.</w:t>
                              </w:r>
                              <w:r w:rsidRPr="008C1B54">
                                <w:rPr>
                                  <w:color w:val="FFFFFF" w:themeColor="background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2419215" name="Flowchart: Connector 7"/>
                        <wps:cNvSpPr/>
                        <wps:spPr>
                          <a:xfrm>
                            <a:off x="2406650" y="2082800"/>
                            <a:ext cx="879231" cy="576775"/>
                          </a:xfrm>
                          <a:prstGeom prst="flowChartConnector">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5F21FC" w14:textId="77777777" w:rsidR="00817866" w:rsidRPr="00D65E6C" w:rsidRDefault="00817866" w:rsidP="00817866">
                              <w:pPr>
                                <w:spacing w:before="0" w:after="0" w:line="240" w:lineRule="auto"/>
                                <w:jc w:val="center"/>
                              </w:pPr>
                              <w:r>
                                <w:rPr>
                                  <w:b/>
                                  <w:bCs/>
                                </w:rPr>
                                <w:t xml:space="preserve">2005 </w:t>
                              </w:r>
                              <w:r w:rsidRPr="00D65E6C">
                                <w:rPr>
                                  <w:b/>
                                  <w:bCs/>
                                </w:rPr>
                                <w:t>-200</w:t>
                              </w:r>
                              <w:r>
                                <w:rPr>
                                  <w:b/>
                                  <w:bCs/>
                                </w:rPr>
                                <w:t>8</w:t>
                              </w:r>
                            </w:p>
                            <w:p w14:paraId="7CA788D9" w14:textId="77777777" w:rsidR="00817866" w:rsidRDefault="00817866" w:rsidP="00817866">
                              <w:pPr>
                                <w:spacing w:before="0"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9779820" name="Group 7"/>
                        <wpg:cNvGrpSpPr/>
                        <wpg:grpSpPr>
                          <a:xfrm>
                            <a:off x="1143000" y="3022600"/>
                            <a:ext cx="2819400" cy="2317750"/>
                            <a:chOff x="0" y="0"/>
                            <a:chExt cx="2819400" cy="2317750"/>
                          </a:xfrm>
                        </wpg:grpSpPr>
                        <wps:wsp>
                          <wps:cNvPr id="2078555023" name="Rectangle: Diagonal Corners Rounded 3"/>
                          <wps:cNvSpPr/>
                          <wps:spPr>
                            <a:xfrm>
                              <a:off x="0" y="0"/>
                              <a:ext cx="2819400" cy="2317750"/>
                            </a:xfrm>
                            <a:prstGeom prst="round2DiagRect">
                              <a:avLst/>
                            </a:prstGeom>
                            <a:solidFill>
                              <a:srgbClr val="236192"/>
                            </a:solidFill>
                            <a:ln w="12700" cap="flat" cmpd="sng" algn="ctr">
                              <a:solidFill>
                                <a:srgbClr val="23619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424066" name="Text Box 9"/>
                          <wps:cNvSpPr txBox="1"/>
                          <wps:spPr>
                            <a:xfrm>
                              <a:off x="190500" y="69850"/>
                              <a:ext cx="2374900" cy="2165350"/>
                            </a:xfrm>
                            <a:prstGeom prst="rect">
                              <a:avLst/>
                            </a:prstGeom>
                            <a:solidFill>
                              <a:schemeClr val="accent1"/>
                            </a:solidFill>
                            <a:ln w="6350">
                              <a:solidFill>
                                <a:schemeClr val="accent1"/>
                              </a:solidFill>
                            </a:ln>
                          </wps:spPr>
                          <wps:txbx>
                            <w:txbxContent>
                              <w:p w14:paraId="4239F7E6" w14:textId="77777777" w:rsidR="00817866" w:rsidRPr="008D1304" w:rsidRDefault="00817866" w:rsidP="00817866">
                                <w:pPr>
                                  <w:spacing w:before="0" w:after="0" w:line="240" w:lineRule="auto"/>
                                  <w:jc w:val="center"/>
                                  <w:rPr>
                                    <w:b/>
                                    <w:bCs/>
                                    <w:color w:val="FFFFFF" w:themeColor="background1"/>
                                  </w:rPr>
                                </w:pPr>
                                <w:r w:rsidRPr="008D1304">
                                  <w:rPr>
                                    <w:b/>
                                    <w:bCs/>
                                    <w:color w:val="FFFFFF" w:themeColor="background1"/>
                                  </w:rPr>
                                  <w:t>2005 to 2008</w:t>
                                </w:r>
                                <w:r w:rsidRPr="008D1304">
                                  <w:rPr>
                                    <w:b/>
                                    <w:bCs/>
                                    <w:color w:val="FFFFFF" w:themeColor="background1"/>
                                  </w:rPr>
                                  <w:br/>
                                  <w:t>commencement of regulation</w:t>
                                </w:r>
                              </w:p>
                              <w:p w14:paraId="44E81130" w14:textId="77777777" w:rsidR="00817866" w:rsidRPr="008D1304" w:rsidRDefault="00817866" w:rsidP="000A7423">
                                <w:pPr>
                                  <w:pStyle w:val="ListParagraph"/>
                                  <w:numPr>
                                    <w:ilvl w:val="0"/>
                                    <w:numId w:val="14"/>
                                  </w:numPr>
                                  <w:rPr>
                                    <w:color w:val="FFFFFF" w:themeColor="background1"/>
                                    <w:sz w:val="18"/>
                                    <w:szCs w:val="18"/>
                                  </w:rPr>
                                </w:pPr>
                                <w:r w:rsidRPr="008D1304">
                                  <w:rPr>
                                    <w:color w:val="FFFFFF" w:themeColor="background1"/>
                                    <w:sz w:val="18"/>
                                    <w:szCs w:val="18"/>
                                  </w:rPr>
                                  <w:t>Commission sets standard charges at $500 per lot per service to address perceived inequity in charging regimes</w:t>
                                </w:r>
                              </w:p>
                              <w:p w14:paraId="15E84817" w14:textId="77777777" w:rsidR="00817866" w:rsidRPr="008D1304" w:rsidRDefault="00817866" w:rsidP="00817866">
                                <w:pPr>
                                  <w:pStyle w:val="ListParagraph"/>
                                  <w:numPr>
                                    <w:ilvl w:val="0"/>
                                    <w:numId w:val="0"/>
                                  </w:numPr>
                                  <w:rPr>
                                    <w:color w:val="FFFFFF" w:themeColor="background1"/>
                                    <w:sz w:val="18"/>
                                    <w:szCs w:val="18"/>
                                  </w:rPr>
                                </w:pPr>
                              </w:p>
                              <w:p w14:paraId="0B22522E" w14:textId="77777777" w:rsidR="00817866" w:rsidRPr="008D1304" w:rsidRDefault="00817866" w:rsidP="000A7423">
                                <w:pPr>
                                  <w:pStyle w:val="ListParagraph"/>
                                  <w:numPr>
                                    <w:ilvl w:val="0"/>
                                    <w:numId w:val="14"/>
                                  </w:numPr>
                                  <w:rPr>
                                    <w:color w:val="FFFFFF" w:themeColor="background1"/>
                                    <w:sz w:val="18"/>
                                    <w:szCs w:val="18"/>
                                  </w:rPr>
                                </w:pPr>
                                <w:r w:rsidRPr="008D1304">
                                  <w:rPr>
                                    <w:color w:val="FFFFFF" w:themeColor="background1"/>
                                    <w:sz w:val="18"/>
                                    <w:szCs w:val="18"/>
                                  </w:rPr>
                                  <w:t xml:space="preserve">Negotiated charges to apply where standard charges did not apply. The commission did not approve negotiated charges but reviewed </w:t>
                                </w:r>
                                <w:r>
                                  <w:rPr>
                                    <w:color w:val="FFFFFF" w:themeColor="background1"/>
                                    <w:sz w:val="18"/>
                                    <w:szCs w:val="18"/>
                                  </w:rPr>
                                  <w:t>business’</w:t>
                                </w:r>
                                <w:r w:rsidRPr="008D1304">
                                  <w:rPr>
                                    <w:color w:val="FFFFFF" w:themeColor="background1"/>
                                    <w:sz w:val="18"/>
                                    <w:szCs w:val="18"/>
                                  </w:rPr>
                                  <w:t xml:space="preserve"> negotiating framework.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1441351" name="Flowchart: Connector 7"/>
                        <wps:cNvSpPr/>
                        <wps:spPr>
                          <a:xfrm>
                            <a:off x="4349750" y="2152650"/>
                            <a:ext cx="879231" cy="506437"/>
                          </a:xfrm>
                          <a:prstGeom prst="flowChartConnector">
                            <a:avLst/>
                          </a:prstGeom>
                          <a:solidFill>
                            <a:srgbClr val="C00000"/>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B76E8D" w14:textId="77777777" w:rsidR="00817866" w:rsidRPr="000644B9" w:rsidRDefault="00817866" w:rsidP="00817866">
                              <w:pPr>
                                <w:spacing w:before="0" w:after="0" w:line="240" w:lineRule="auto"/>
                                <w:jc w:val="center"/>
                                <w:rPr>
                                  <w:b/>
                                  <w:bCs/>
                                </w:rPr>
                              </w:pPr>
                              <w:r w:rsidRPr="000644B9">
                                <w:rPr>
                                  <w:b/>
                                  <w:bCs/>
                                </w:rPr>
                                <w:t>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7202577" name="Group 4"/>
                        <wpg:cNvGrpSpPr/>
                        <wpg:grpSpPr>
                          <a:xfrm>
                            <a:off x="3194050" y="82550"/>
                            <a:ext cx="3365500" cy="1663700"/>
                            <a:chOff x="0" y="-6350"/>
                            <a:chExt cx="3841750" cy="1663700"/>
                          </a:xfrm>
                        </wpg:grpSpPr>
                        <wps:wsp>
                          <wps:cNvPr id="1484233721" name="Rectangle: Diagonal Corners Rounded 3"/>
                          <wps:cNvSpPr/>
                          <wps:spPr>
                            <a:xfrm>
                              <a:off x="0" y="0"/>
                              <a:ext cx="3841750" cy="1657350"/>
                            </a:xfrm>
                            <a:prstGeom prst="round2Diag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185916" name="Text Box 11"/>
                          <wps:cNvSpPr txBox="1"/>
                          <wps:spPr>
                            <a:xfrm>
                              <a:off x="230457" y="-6350"/>
                              <a:ext cx="3492499" cy="1644650"/>
                            </a:xfrm>
                            <a:prstGeom prst="rect">
                              <a:avLst/>
                            </a:prstGeom>
                            <a:solidFill>
                              <a:schemeClr val="accent1"/>
                            </a:solidFill>
                            <a:ln w="6350">
                              <a:noFill/>
                            </a:ln>
                          </wps:spPr>
                          <wps:txbx>
                            <w:txbxContent>
                              <w:p w14:paraId="1E18E7C6" w14:textId="77777777" w:rsidR="00817866" w:rsidRPr="00CC3911" w:rsidRDefault="00817866" w:rsidP="00817866">
                                <w:pPr>
                                  <w:spacing w:before="0" w:after="0" w:line="240" w:lineRule="auto"/>
                                  <w:jc w:val="center"/>
                                  <w:rPr>
                                    <w:b/>
                                    <w:bCs/>
                                    <w:color w:val="FFFFFF" w:themeColor="background1"/>
                                  </w:rPr>
                                </w:pPr>
                                <w:r w:rsidRPr="00CC3911">
                                  <w:rPr>
                                    <w:b/>
                                    <w:bCs/>
                                    <w:color w:val="FFFFFF" w:themeColor="background1"/>
                                  </w:rPr>
                                  <w:t>2008</w:t>
                                </w:r>
                                <w:r>
                                  <w:rPr>
                                    <w:b/>
                                    <w:bCs/>
                                    <w:color w:val="FFFFFF" w:themeColor="background1"/>
                                  </w:rPr>
                                  <w:t xml:space="preserve">: </w:t>
                                </w:r>
                                <w:r>
                                  <w:rPr>
                                    <w:b/>
                                    <w:bCs/>
                                    <w:color w:val="FFFFFF" w:themeColor="background1"/>
                                  </w:rPr>
                                  <w:br/>
                                  <w:t>standard NCCs doubled and lot sizing introduced</w:t>
                                </w:r>
                              </w:p>
                              <w:p w14:paraId="3C805485" w14:textId="77777777" w:rsidR="00817866" w:rsidRPr="00CC3911" w:rsidRDefault="00817866" w:rsidP="000A7423">
                                <w:pPr>
                                  <w:pStyle w:val="ListParagraph"/>
                                  <w:numPr>
                                    <w:ilvl w:val="0"/>
                                    <w:numId w:val="15"/>
                                  </w:numPr>
                                  <w:rPr>
                                    <w:color w:val="FFFFFF" w:themeColor="background1"/>
                                    <w:sz w:val="18"/>
                                    <w:szCs w:val="18"/>
                                  </w:rPr>
                                </w:pPr>
                                <w:r w:rsidRPr="00CC3911">
                                  <w:rPr>
                                    <w:color w:val="FFFFFF" w:themeColor="background1"/>
                                    <w:sz w:val="18"/>
                                    <w:szCs w:val="18"/>
                                  </w:rPr>
                                  <w:t>Industry pressure for standard charges greater than $500 per lot</w:t>
                                </w:r>
                                <w:r>
                                  <w:rPr>
                                    <w:color w:val="FFFFFF" w:themeColor="background1"/>
                                    <w:sz w:val="18"/>
                                    <w:szCs w:val="18"/>
                                  </w:rPr>
                                  <w:t xml:space="preserve"> per service</w:t>
                                </w:r>
                                <w:r w:rsidRPr="00CC3911">
                                  <w:rPr>
                                    <w:color w:val="FFFFFF" w:themeColor="background1"/>
                                    <w:sz w:val="18"/>
                                    <w:szCs w:val="18"/>
                                  </w:rPr>
                                  <w:t xml:space="preserve">, as the </w:t>
                                </w:r>
                                <w:r>
                                  <w:rPr>
                                    <w:color w:val="FFFFFF" w:themeColor="background1"/>
                                    <w:sz w:val="18"/>
                                    <w:szCs w:val="18"/>
                                  </w:rPr>
                                  <w:t>prevailing</w:t>
                                </w:r>
                                <w:r w:rsidRPr="00CC3911">
                                  <w:rPr>
                                    <w:color w:val="FFFFFF" w:themeColor="background1"/>
                                    <w:sz w:val="18"/>
                                    <w:szCs w:val="18"/>
                                  </w:rPr>
                                  <w:t xml:space="preserve"> charge did not cover costs</w:t>
                                </w:r>
                              </w:p>
                              <w:p w14:paraId="223757FF" w14:textId="77777777" w:rsidR="00817866" w:rsidRDefault="00817866" w:rsidP="000A7423">
                                <w:pPr>
                                  <w:pStyle w:val="ListParagraph"/>
                                  <w:numPr>
                                    <w:ilvl w:val="0"/>
                                    <w:numId w:val="15"/>
                                  </w:numPr>
                                  <w:rPr>
                                    <w:color w:val="FFFFFF" w:themeColor="background1"/>
                                    <w:sz w:val="18"/>
                                    <w:szCs w:val="18"/>
                                  </w:rPr>
                                </w:pPr>
                                <w:r w:rsidRPr="00CC3911">
                                  <w:rPr>
                                    <w:color w:val="FFFFFF" w:themeColor="background1"/>
                                    <w:sz w:val="18"/>
                                    <w:szCs w:val="18"/>
                                  </w:rPr>
                                  <w:t xml:space="preserve">This led to three tier charging depending on lot size </w:t>
                                </w:r>
                              </w:p>
                              <w:p w14:paraId="403797C5" w14:textId="77777777" w:rsidR="00817866" w:rsidRPr="00CC3911" w:rsidRDefault="00817866" w:rsidP="000A7423">
                                <w:pPr>
                                  <w:pStyle w:val="ListParagraph"/>
                                  <w:numPr>
                                    <w:ilvl w:val="0"/>
                                    <w:numId w:val="15"/>
                                  </w:numPr>
                                  <w:rPr>
                                    <w:color w:val="FFFFFF" w:themeColor="background1"/>
                                    <w:sz w:val="18"/>
                                    <w:szCs w:val="18"/>
                                  </w:rPr>
                                </w:pPr>
                                <w:r w:rsidRPr="00CC3911">
                                  <w:rPr>
                                    <w:color w:val="FFFFFF" w:themeColor="background1"/>
                                    <w:sz w:val="18"/>
                                    <w:szCs w:val="18"/>
                                  </w:rPr>
                                  <w:t xml:space="preserve">Negotiated </w:t>
                                </w:r>
                                <w:r>
                                  <w:rPr>
                                    <w:color w:val="FFFFFF" w:themeColor="background1"/>
                                    <w:sz w:val="18"/>
                                    <w:szCs w:val="18"/>
                                  </w:rPr>
                                  <w:t>NCCs</w:t>
                                </w:r>
                                <w:r w:rsidRPr="00CC3911">
                                  <w:rPr>
                                    <w:color w:val="FFFFFF" w:themeColor="background1"/>
                                    <w:sz w:val="18"/>
                                    <w:szCs w:val="18"/>
                                  </w:rPr>
                                  <w:t xml:space="preserve"> framework</w:t>
                                </w:r>
                                <w:r>
                                  <w:rPr>
                                    <w:color w:val="FFFFFF" w:themeColor="background1"/>
                                    <w:sz w:val="18"/>
                                    <w:szCs w:val="18"/>
                                  </w:rPr>
                                  <w:t xml:space="preserve"> remained in place.</w:t>
                                </w:r>
                                <w:r w:rsidRPr="00CC3911">
                                  <w:rPr>
                                    <w:color w:val="FFFFFF" w:themeColor="background1"/>
                                    <w:sz w:val="18"/>
                                    <w:szCs w:val="18"/>
                                  </w:rPr>
                                  <w:t xml:space="preserve"> </w:t>
                                </w:r>
                              </w:p>
                              <w:p w14:paraId="2FC63B02" w14:textId="77777777" w:rsidR="00817866" w:rsidRDefault="00817866" w:rsidP="00817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20079439" name="Flowchart: Connector 7"/>
                        <wps:cNvSpPr/>
                        <wps:spPr>
                          <a:xfrm>
                            <a:off x="6324600" y="2095500"/>
                            <a:ext cx="927735" cy="576580"/>
                          </a:xfrm>
                          <a:prstGeom prst="flowChartConnector">
                            <a:avLst/>
                          </a:prstGeom>
                          <a:solidFill>
                            <a:srgbClr val="C00000"/>
                          </a:solidFill>
                          <a:ln w="12700" cap="flat" cmpd="sng" algn="ctr">
                            <a:solidFill>
                              <a:srgbClr val="236192">
                                <a:lumMod val="75000"/>
                              </a:srgbClr>
                            </a:solidFill>
                            <a:prstDash val="solid"/>
                            <a:miter lim="800000"/>
                          </a:ln>
                          <a:effectLst/>
                        </wps:spPr>
                        <wps:txbx>
                          <w:txbxContent>
                            <w:p w14:paraId="62D2786B" w14:textId="77777777" w:rsidR="00817866" w:rsidRPr="0073156A" w:rsidRDefault="00817866" w:rsidP="00817866">
                              <w:pPr>
                                <w:spacing w:before="0" w:after="0" w:line="240" w:lineRule="auto"/>
                                <w:jc w:val="center"/>
                                <w:rPr>
                                  <w:b/>
                                  <w:bCs/>
                                </w:rPr>
                              </w:pPr>
                              <w:r w:rsidRPr="0073156A">
                                <w:rPr>
                                  <w:b/>
                                  <w:bCs/>
                                </w:rPr>
                                <w:t>2010-2012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01343039" name="Group 6"/>
                        <wpg:cNvGrpSpPr/>
                        <wpg:grpSpPr>
                          <a:xfrm>
                            <a:off x="5130800" y="2908300"/>
                            <a:ext cx="3295650" cy="2470150"/>
                            <a:chOff x="0" y="0"/>
                            <a:chExt cx="3295650" cy="2470150"/>
                          </a:xfrm>
                        </wpg:grpSpPr>
                        <wps:wsp>
                          <wps:cNvPr id="1999730234" name="Rectangle: Diagonal Corners Rounded 3"/>
                          <wps:cNvSpPr/>
                          <wps:spPr>
                            <a:xfrm>
                              <a:off x="0" y="0"/>
                              <a:ext cx="3295650" cy="2470150"/>
                            </a:xfrm>
                            <a:prstGeom prst="round2DiagRect">
                              <a:avLst/>
                            </a:prstGeom>
                            <a:solidFill>
                              <a:srgbClr val="236192"/>
                            </a:solidFill>
                            <a:ln w="12700" cap="flat" cmpd="sng" algn="ctr">
                              <a:solidFill>
                                <a:srgbClr val="23619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010585" name="Text Box 14"/>
                          <wps:cNvSpPr txBox="1"/>
                          <wps:spPr>
                            <a:xfrm>
                              <a:off x="222250" y="44450"/>
                              <a:ext cx="2832100" cy="2400300"/>
                            </a:xfrm>
                            <a:prstGeom prst="rect">
                              <a:avLst/>
                            </a:prstGeom>
                            <a:solidFill>
                              <a:schemeClr val="accent1"/>
                            </a:solidFill>
                            <a:ln w="6350">
                              <a:solidFill>
                                <a:schemeClr val="accent1"/>
                              </a:solidFill>
                            </a:ln>
                          </wps:spPr>
                          <wps:txbx>
                            <w:txbxContent>
                              <w:p w14:paraId="3F627FA8" w14:textId="77777777" w:rsidR="00817866" w:rsidRPr="009F35B6" w:rsidRDefault="00817866" w:rsidP="00817866">
                                <w:pPr>
                                  <w:spacing w:before="0" w:after="0" w:line="240" w:lineRule="auto"/>
                                  <w:jc w:val="center"/>
                                  <w:rPr>
                                    <w:b/>
                                    <w:bCs/>
                                    <w:color w:val="FFFFFF" w:themeColor="background1"/>
                                  </w:rPr>
                                </w:pPr>
                                <w:r w:rsidRPr="009F35B6">
                                  <w:rPr>
                                    <w:b/>
                                    <w:bCs/>
                                    <w:color w:val="FFFFFF" w:themeColor="background1"/>
                                  </w:rPr>
                                  <w:t>2010 to 2012</w:t>
                                </w:r>
                                <w:r w:rsidRPr="009F35B6">
                                  <w:rPr>
                                    <w:b/>
                                    <w:bCs/>
                                    <w:color w:val="FFFFFF" w:themeColor="background1"/>
                                  </w:rPr>
                                  <w:br/>
                                  <w:t xml:space="preserve">extensive regulatory review of </w:t>
                                </w:r>
                                <w:r>
                                  <w:rPr>
                                    <w:b/>
                                    <w:bCs/>
                                    <w:color w:val="FFFFFF" w:themeColor="background1"/>
                                  </w:rPr>
                                  <w:t>new customer contributions</w:t>
                                </w:r>
                                <w:r w:rsidRPr="009F35B6">
                                  <w:rPr>
                                    <w:b/>
                                    <w:bCs/>
                                    <w:color w:val="FFFFFF" w:themeColor="background1"/>
                                  </w:rPr>
                                  <w:t xml:space="preserve"> by the commission</w:t>
                                </w:r>
                              </w:p>
                              <w:p w14:paraId="40C82141" w14:textId="77777777" w:rsidR="00817866" w:rsidRPr="009F35B6" w:rsidRDefault="00817866" w:rsidP="00817866">
                                <w:pPr>
                                  <w:rPr>
                                    <w:color w:val="FFFFFF" w:themeColor="background1"/>
                                    <w:sz w:val="18"/>
                                    <w:szCs w:val="18"/>
                                  </w:rPr>
                                </w:pPr>
                                <w:r>
                                  <w:rPr>
                                    <w:color w:val="FFFFFF" w:themeColor="background1"/>
                                    <w:sz w:val="18"/>
                                    <w:szCs w:val="18"/>
                                  </w:rPr>
                                  <w:t>Review undertaken</w:t>
                                </w:r>
                                <w:r w:rsidRPr="009F35B6" w:rsidDel="00EC7CF1">
                                  <w:rPr>
                                    <w:color w:val="FFFFFF" w:themeColor="background1"/>
                                    <w:sz w:val="18"/>
                                    <w:szCs w:val="18"/>
                                  </w:rPr>
                                  <w:t xml:space="preserve"> </w:t>
                                </w:r>
                                <w:r>
                                  <w:rPr>
                                    <w:color w:val="FFFFFF" w:themeColor="background1"/>
                                    <w:sz w:val="18"/>
                                    <w:szCs w:val="18"/>
                                  </w:rPr>
                                  <w:t>i</w:t>
                                </w:r>
                                <w:r w:rsidRPr="009F35B6">
                                  <w:rPr>
                                    <w:color w:val="FFFFFF" w:themeColor="background1"/>
                                    <w:sz w:val="18"/>
                                    <w:szCs w:val="18"/>
                                  </w:rPr>
                                  <w:t>n response to disputes between water businesses and developers on:</w:t>
                                </w:r>
                              </w:p>
                              <w:p w14:paraId="58B0908E" w14:textId="77777777" w:rsidR="00817866" w:rsidRPr="009F35B6" w:rsidRDefault="00817866" w:rsidP="000A7423">
                                <w:pPr>
                                  <w:pStyle w:val="ListParagraph"/>
                                  <w:numPr>
                                    <w:ilvl w:val="0"/>
                                    <w:numId w:val="30"/>
                                  </w:numPr>
                                  <w:rPr>
                                    <w:color w:val="FFFFFF" w:themeColor="background1"/>
                                    <w:sz w:val="18"/>
                                    <w:szCs w:val="18"/>
                                  </w:rPr>
                                </w:pPr>
                                <w:r w:rsidRPr="009F35B6">
                                  <w:rPr>
                                    <w:color w:val="FFFFFF" w:themeColor="background1"/>
                                    <w:sz w:val="18"/>
                                    <w:szCs w:val="18"/>
                                  </w:rPr>
                                  <w:t>lack of clarity on costs that charges are required to cover</w:t>
                                </w:r>
                              </w:p>
                              <w:p w14:paraId="08A67E8B" w14:textId="77777777" w:rsidR="00817866" w:rsidRPr="009F35B6" w:rsidRDefault="00817866" w:rsidP="000A7423">
                                <w:pPr>
                                  <w:pStyle w:val="ListParagraph"/>
                                  <w:numPr>
                                    <w:ilvl w:val="0"/>
                                    <w:numId w:val="30"/>
                                  </w:numPr>
                                  <w:rPr>
                                    <w:color w:val="FFFFFF" w:themeColor="background1"/>
                                    <w:sz w:val="18"/>
                                    <w:szCs w:val="18"/>
                                  </w:rPr>
                                </w:pPr>
                                <w:r w:rsidRPr="009F35B6">
                                  <w:rPr>
                                    <w:color w:val="FFFFFF" w:themeColor="background1"/>
                                    <w:sz w:val="18"/>
                                    <w:szCs w:val="18"/>
                                  </w:rPr>
                                  <w:t>complex definitions on bring forward charges and reticulation assets</w:t>
                                </w:r>
                              </w:p>
                              <w:p w14:paraId="76513DA2" w14:textId="77777777" w:rsidR="00817866" w:rsidRPr="009F35B6" w:rsidRDefault="00817866" w:rsidP="000A7423">
                                <w:pPr>
                                  <w:pStyle w:val="ListParagraph"/>
                                  <w:numPr>
                                    <w:ilvl w:val="0"/>
                                    <w:numId w:val="30"/>
                                  </w:numPr>
                                  <w:rPr>
                                    <w:color w:val="FFFFFF" w:themeColor="background1"/>
                                    <w:sz w:val="18"/>
                                    <w:szCs w:val="18"/>
                                  </w:rPr>
                                </w:pPr>
                                <w:r w:rsidRPr="009F35B6">
                                  <w:rPr>
                                    <w:color w:val="FFFFFF" w:themeColor="background1"/>
                                    <w:sz w:val="18"/>
                                    <w:szCs w:val="18"/>
                                  </w:rPr>
                                  <w:t xml:space="preserve">lack of consistency between water businesses on application of </w:t>
                                </w:r>
                                <w:r>
                                  <w:rPr>
                                    <w:color w:val="FFFFFF" w:themeColor="background1"/>
                                    <w:sz w:val="18"/>
                                    <w:szCs w:val="18"/>
                                  </w:rPr>
                                  <w:t>NCCs.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558488" name="Flowchart: Connector 7"/>
                        <wps:cNvSpPr/>
                        <wps:spPr>
                          <a:xfrm>
                            <a:off x="8121650" y="2076010"/>
                            <a:ext cx="1054735" cy="583565"/>
                          </a:xfrm>
                          <a:prstGeom prst="flowChartConnector">
                            <a:avLst/>
                          </a:prstGeom>
                          <a:solidFill>
                            <a:srgbClr val="C00000"/>
                          </a:solidFill>
                          <a:ln w="12700" cap="flat" cmpd="sng" algn="ctr">
                            <a:solidFill>
                              <a:srgbClr val="236192">
                                <a:lumMod val="75000"/>
                              </a:srgbClr>
                            </a:solidFill>
                            <a:prstDash val="solid"/>
                            <a:miter lim="800000"/>
                          </a:ln>
                          <a:effectLst/>
                        </wps:spPr>
                        <wps:txbx>
                          <w:txbxContent>
                            <w:p w14:paraId="25B67753" w14:textId="77777777" w:rsidR="00817866" w:rsidRPr="002D72C0" w:rsidRDefault="00817866" w:rsidP="00817866">
                              <w:pPr>
                                <w:spacing w:before="0" w:after="0" w:line="240" w:lineRule="auto"/>
                                <w:jc w:val="both"/>
                                <w:rPr>
                                  <w:b/>
                                  <w:bCs/>
                                </w:rPr>
                              </w:pPr>
                              <w:r w:rsidRPr="002D72C0">
                                <w:rPr>
                                  <w:b/>
                                  <w:bCs/>
                                </w:rPr>
                                <w:t>2013-</w:t>
                              </w:r>
                              <w:r>
                                <w:rPr>
                                  <w:b/>
                                  <w:bCs/>
                                </w:rPr>
                                <w:t>curren</w:t>
                              </w:r>
                              <w:r w:rsidRPr="002D72C0">
                                <w:rPr>
                                  <w:b/>
                                  <w:bC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4350994" name="Group 5"/>
                        <wpg:cNvGrpSpPr/>
                        <wpg:grpSpPr>
                          <a:xfrm>
                            <a:off x="7175500" y="0"/>
                            <a:ext cx="2641600" cy="1638300"/>
                            <a:chOff x="0" y="0"/>
                            <a:chExt cx="2641600" cy="1667978"/>
                          </a:xfrm>
                        </wpg:grpSpPr>
                        <wps:wsp>
                          <wps:cNvPr id="506685017" name="Rectangle: Diagonal Corners Rounded 3"/>
                          <wps:cNvSpPr/>
                          <wps:spPr>
                            <a:xfrm>
                              <a:off x="0" y="0"/>
                              <a:ext cx="2641600" cy="1667978"/>
                            </a:xfrm>
                            <a:prstGeom prst="round2DiagRect">
                              <a:avLst/>
                            </a:prstGeom>
                            <a:solidFill>
                              <a:schemeClr val="accent4"/>
                            </a:solidFill>
                            <a:ln w="12700" cap="flat" cmpd="sng" algn="ctr">
                              <a:solidFill>
                                <a:srgbClr val="23619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215029" name="Text Box 15"/>
                          <wps:cNvSpPr txBox="1"/>
                          <wps:spPr>
                            <a:xfrm>
                              <a:off x="120650" y="37640"/>
                              <a:ext cx="2438400" cy="1581150"/>
                            </a:xfrm>
                            <a:prstGeom prst="rect">
                              <a:avLst/>
                            </a:prstGeom>
                            <a:solidFill>
                              <a:schemeClr val="accent4"/>
                            </a:solidFill>
                            <a:ln w="6350">
                              <a:noFill/>
                            </a:ln>
                          </wps:spPr>
                          <wps:txbx>
                            <w:txbxContent>
                              <w:p w14:paraId="640C6E36" w14:textId="503BB6DB" w:rsidR="00817866" w:rsidRPr="003130C3" w:rsidRDefault="00817866" w:rsidP="00817866">
                                <w:pPr>
                                  <w:spacing w:before="0" w:after="0" w:line="240" w:lineRule="auto"/>
                                  <w:jc w:val="center"/>
                                  <w:rPr>
                                    <w:b/>
                                    <w:color w:val="FFFFFF" w:themeColor="background1"/>
                                    <w:sz w:val="21"/>
                                    <w:szCs w:val="21"/>
                                    <w14:textOutline w14:w="9525" w14:cap="rnd" w14:cmpd="sng" w14:algn="ctr">
                                      <w14:noFill/>
                                      <w14:prstDash w14:val="solid"/>
                                      <w14:bevel/>
                                    </w14:textOutline>
                                  </w:rPr>
                                </w:pPr>
                                <w:r w:rsidRPr="003130C3">
                                  <w:rPr>
                                    <w:b/>
                                    <w:color w:val="FFFFFF" w:themeColor="background1"/>
                                    <w:sz w:val="21"/>
                                    <w:szCs w:val="21"/>
                                    <w14:textOutline w14:w="9525" w14:cap="rnd" w14:cmpd="sng" w14:algn="ctr">
                                      <w14:noFill/>
                                      <w14:prstDash w14:val="solid"/>
                                      <w14:bevel/>
                                    </w14:textOutline>
                                  </w:rPr>
                                  <w:t>2013 onwards:</w:t>
                                </w:r>
                                <w:r w:rsidRPr="003130C3">
                                  <w:rPr>
                                    <w:b/>
                                    <w:color w:val="FFFFFF" w:themeColor="background1"/>
                                    <w:sz w:val="21"/>
                                    <w:szCs w:val="21"/>
                                    <w14:textOutline w14:w="9525" w14:cap="rnd" w14:cmpd="sng" w14:algn="ctr">
                                      <w14:noFill/>
                                      <w14:prstDash w14:val="solid"/>
                                      <w14:bevel/>
                                    </w14:textOutline>
                                  </w:rPr>
                                  <w:br/>
                                  <w:t xml:space="preserve">current </w:t>
                                </w:r>
                                <w:r>
                                  <w:rPr>
                                    <w:b/>
                                    <w:color w:val="FFFFFF" w:themeColor="background1"/>
                                    <w:sz w:val="21"/>
                                    <w:szCs w:val="21"/>
                                    <w14:textOutline w14:w="9525" w14:cap="rnd" w14:cmpd="sng" w14:algn="ctr">
                                      <w14:noFill/>
                                      <w14:prstDash w14:val="solid"/>
                                      <w14:bevel/>
                                    </w14:textOutline>
                                  </w:rPr>
                                  <w:t>principles</w:t>
                                </w:r>
                                <w:r w:rsidR="00E81104">
                                  <w:rPr>
                                    <w:b/>
                                    <w:color w:val="FFFFFF" w:themeColor="background1"/>
                                    <w:sz w:val="21"/>
                                    <w:szCs w:val="21"/>
                                    <w14:textOutline w14:w="9525" w14:cap="rnd" w14:cmpd="sng" w14:algn="ctr">
                                      <w14:noFill/>
                                      <w14:prstDash w14:val="solid"/>
                                      <w14:bevel/>
                                    </w14:textOutline>
                                  </w:rPr>
                                  <w:t>-</w:t>
                                </w:r>
                                <w:r>
                                  <w:rPr>
                                    <w:b/>
                                    <w:color w:val="FFFFFF" w:themeColor="background1"/>
                                    <w:sz w:val="21"/>
                                    <w:szCs w:val="21"/>
                                    <w14:textOutline w14:w="9525" w14:cap="rnd" w14:cmpd="sng" w14:algn="ctr">
                                      <w14:noFill/>
                                      <w14:prstDash w14:val="solid"/>
                                      <w14:bevel/>
                                    </w14:textOutline>
                                  </w:rPr>
                                  <w:t xml:space="preserve">based NCCs framework </w:t>
                                </w:r>
                              </w:p>
                              <w:p w14:paraId="4BECFD43" w14:textId="1509DE8F" w:rsidR="00817866" w:rsidRPr="006409B2" w:rsidRDefault="00817866" w:rsidP="000A7423">
                                <w:pPr>
                                  <w:pStyle w:val="ListParagraph"/>
                                  <w:numPr>
                                    <w:ilvl w:val="0"/>
                                    <w:numId w:val="22"/>
                                  </w:numPr>
                                  <w:tabs>
                                    <w:tab w:val="num" w:pos="360"/>
                                  </w:tabs>
                                  <w:ind w:left="284" w:hanging="284"/>
                                  <w:rPr>
                                    <w:color w:val="FFFFFF" w:themeColor="background1"/>
                                    <w:sz w:val="18"/>
                                    <w:szCs w:val="18"/>
                                    <w14:textOutline w14:w="9525" w14:cap="rnd" w14:cmpd="sng" w14:algn="ctr">
                                      <w14:noFill/>
                                      <w14:prstDash w14:val="solid"/>
                                      <w14:bevel/>
                                    </w14:textOutline>
                                  </w:rPr>
                                </w:pPr>
                                <w:r w:rsidRPr="007744DC">
                                  <w:rPr>
                                    <w:color w:val="FFFFFF" w:themeColor="background1"/>
                                    <w:sz w:val="18"/>
                                    <w:szCs w:val="18"/>
                                    <w14:textOutline w14:w="9525" w14:cap="rnd" w14:cmpd="sng" w14:algn="ctr">
                                      <w14:noFill/>
                                      <w14:prstDash w14:val="solid"/>
                                      <w14:bevel/>
                                    </w14:textOutline>
                                  </w:rPr>
                                  <w:t xml:space="preserve">The </w:t>
                                </w:r>
                                <w:r>
                                  <w:rPr>
                                    <w:color w:val="FFFFFF" w:themeColor="background1"/>
                                    <w:sz w:val="18"/>
                                    <w:szCs w:val="18"/>
                                    <w14:textOutline w14:w="9525" w14:cap="rnd" w14:cmpd="sng" w14:algn="ctr">
                                      <w14:noFill/>
                                      <w14:prstDash w14:val="solid"/>
                                      <w14:bevel/>
                                    </w14:textOutline>
                                  </w:rPr>
                                  <w:t>principle</w:t>
                                </w:r>
                                <w:r w:rsidR="00E81104">
                                  <w:rPr>
                                    <w:color w:val="FFFFFF" w:themeColor="background1"/>
                                    <w:sz w:val="18"/>
                                    <w:szCs w:val="18"/>
                                    <w14:textOutline w14:w="9525" w14:cap="rnd" w14:cmpd="sng" w14:algn="ctr">
                                      <w14:noFill/>
                                      <w14:prstDash w14:val="solid"/>
                                      <w14:bevel/>
                                    </w14:textOutline>
                                  </w:rPr>
                                  <w:t>s-</w:t>
                                </w:r>
                                <w:r>
                                  <w:rPr>
                                    <w:color w:val="FFFFFF" w:themeColor="background1"/>
                                    <w:sz w:val="18"/>
                                    <w:szCs w:val="18"/>
                                    <w14:textOutline w14:w="9525" w14:cap="rnd" w14:cmpd="sng" w14:algn="ctr">
                                      <w14:noFill/>
                                      <w14:prstDash w14:val="solid"/>
                                      <w14:bevel/>
                                    </w14:textOutline>
                                  </w:rPr>
                                  <w:t xml:space="preserve">based </w:t>
                                </w:r>
                                <w:r w:rsidRPr="007744DC">
                                  <w:rPr>
                                    <w:color w:val="FFFFFF" w:themeColor="background1"/>
                                    <w:sz w:val="18"/>
                                    <w:szCs w:val="18"/>
                                    <w14:textOutline w14:w="9525" w14:cap="rnd" w14:cmpd="sng" w14:algn="ctr">
                                      <w14:noFill/>
                                      <w14:prstDash w14:val="solid"/>
                                      <w14:bevel/>
                                    </w14:textOutline>
                                  </w:rPr>
                                  <w:t xml:space="preserve">framework </w:t>
                                </w:r>
                                <w:r>
                                  <w:rPr>
                                    <w:color w:val="FFFFFF" w:themeColor="background1"/>
                                    <w:sz w:val="18"/>
                                    <w:szCs w:val="18"/>
                                    <w14:textOutline w14:w="9525" w14:cap="rnd" w14:cmpd="sng" w14:algn="ctr">
                                      <w14:noFill/>
                                      <w14:prstDash w14:val="solid"/>
                                      <w14:bevel/>
                                    </w14:textOutline>
                                  </w:rPr>
                                  <w:t>in place in 2013</w:t>
                                </w:r>
                              </w:p>
                              <w:p w14:paraId="5DBCBF8A" w14:textId="1DE2D41D" w:rsidR="00817866" w:rsidRPr="00AF38A7" w:rsidRDefault="00817866" w:rsidP="000A7423">
                                <w:pPr>
                                  <w:pStyle w:val="ListParagraph"/>
                                  <w:numPr>
                                    <w:ilvl w:val="0"/>
                                    <w:numId w:val="22"/>
                                  </w:numPr>
                                  <w:tabs>
                                    <w:tab w:val="num" w:pos="360"/>
                                  </w:tabs>
                                  <w:ind w:left="284" w:hanging="284"/>
                                  <w:rPr>
                                    <w:sz w:val="18"/>
                                    <w:szCs w:val="18"/>
                                    <w14:textOutline w14:w="9525" w14:cap="rnd" w14:cmpd="sng" w14:algn="ctr">
                                      <w14:noFill/>
                                      <w14:prstDash w14:val="solid"/>
                                      <w14:bevel/>
                                    </w14:textOutline>
                                  </w:rPr>
                                </w:pPr>
                                <w:r w:rsidRPr="008A6396">
                                  <w:rPr>
                                    <w:color w:val="FFFFFF" w:themeColor="background1"/>
                                    <w:sz w:val="18"/>
                                    <w:szCs w:val="18"/>
                                    <w14:textOutline w14:w="9525" w14:cap="rnd" w14:cmpd="sng" w14:algn="ctr">
                                      <w14:noFill/>
                                      <w14:prstDash w14:val="solid"/>
                                      <w14:bevel/>
                                    </w14:textOutline>
                                  </w:rPr>
                                  <w:t>2023</w:t>
                                </w:r>
                                <w:r>
                                  <w:rPr>
                                    <w:color w:val="FFFFFF" w:themeColor="background1"/>
                                    <w:sz w:val="18"/>
                                    <w:szCs w:val="18"/>
                                    <w14:textOutline w14:w="9525" w14:cap="rnd" w14:cmpd="sng" w14:algn="ctr">
                                      <w14:noFill/>
                                      <w14:prstDash w14:val="solid"/>
                                      <w14:bevel/>
                                    </w14:textOutline>
                                  </w:rPr>
                                  <w:t xml:space="preserve"> </w:t>
                                </w:r>
                                <w:r w:rsidRPr="008A6396">
                                  <w:rPr>
                                    <w:color w:val="FFFFFF" w:themeColor="background1"/>
                                    <w:sz w:val="18"/>
                                    <w:szCs w:val="18"/>
                                    <w14:textOutline w14:w="9525" w14:cap="rnd" w14:cmpd="sng" w14:algn="ctr">
                                      <w14:noFill/>
                                      <w14:prstDash w14:val="solid"/>
                                      <w14:bevel/>
                                    </w14:textOutline>
                                  </w:rPr>
                                  <w:t xml:space="preserve">price review found implementation issues </w:t>
                                </w:r>
                                <w:r>
                                  <w:rPr>
                                    <w:color w:val="FFFFFF" w:themeColor="background1"/>
                                    <w:sz w:val="18"/>
                                    <w:szCs w:val="18"/>
                                    <w14:textOutline w14:w="9525" w14:cap="rnd" w14:cmpd="sng" w14:algn="ctr">
                                      <w14:noFill/>
                                      <w14:prstDash w14:val="solid"/>
                                      <w14:bevel/>
                                    </w14:textOutline>
                                  </w:rPr>
                                  <w:t xml:space="preserve">that led us to initiate this </w:t>
                                </w:r>
                                <w:r w:rsidRPr="002518E3">
                                  <w:rPr>
                                    <w:color w:val="FFFFFF" w:themeColor="background1"/>
                                    <w:sz w:val="18"/>
                                    <w:szCs w:val="18"/>
                                    <w14:textOutline w14:w="9525" w14:cap="rnd" w14:cmpd="sng" w14:algn="ctr">
                                      <w14:noFill/>
                                      <w14:prstDash w14:val="solid"/>
                                      <w14:bevel/>
                                    </w14:textOutline>
                                  </w:rPr>
                                  <w:t>2024 review</w:t>
                                </w:r>
                                <w:r>
                                  <w:rPr>
                                    <w:color w:val="FFFFFF" w:themeColor="background1"/>
                                    <w:sz w:val="18"/>
                                    <w:szCs w:val="18"/>
                                    <w14:textOutline w14:w="9525" w14:cap="rnd" w14:cmpd="sng" w14:algn="ctr">
                                      <w14:noFill/>
                                      <w14:prstDash w14:val="solid"/>
                                      <w14:bevel/>
                                    </w14:textOutline>
                                  </w:rPr>
                                  <w:t xml:space="preserve"> of NCCs framework.</w:t>
                                </w:r>
                                <w:r w:rsidRPr="002518E3">
                                  <w:rPr>
                                    <w:color w:val="FFFFFF" w:themeColor="background1"/>
                                    <w:sz w:val="18"/>
                                    <w:szCs w:val="18"/>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6EBA900" id="Group 8" o:spid="_x0000_s1026" style="position:absolute;margin-left:-8.7pt;margin-top:19.85pt;width:776pt;height:423.5pt;z-index:251658245" coordsize="98552,5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">
                <v:shapetype id="_x0000_t32" coordsize="21600,21600" o:spt="32" o:oned="t" path="m,l21600,21600e" filled="f">
                  <v:path arrowok="t" fillok="f" o:connecttype="none"/>
                  <o:lock v:ext="edit" shapetype="t"/>
                </v:shapetype>
                <v:shape id="Straight Arrow Connector 5" o:spid="_x0000_s1027" type="#_x0000_t32" style="position:absolute;top:23749;width:98552;height:10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" strokecolor="#236192 [3204]" strokeweight=".5pt">
                  <v:stroke endarrow="block" joinstyle="miter"/>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8" type="#_x0000_t120" style="position:absolute;left:3492;top:21336;width:8441;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" fillcolor="#c00000" strokecolor="#c00000" strokeweight="1pt">
                  <v:stroke joinstyle="miter"/>
                  <v:textbox>
                    <w:txbxContent>
                      <w:p w14:paraId="3C679DC7" w14:textId="77777777" w:rsidR="00817866" w:rsidRPr="00954552" w:rsidRDefault="00817866" w:rsidP="00817866">
                        <w:pPr>
                          <w:spacing w:before="0" w:after="0" w:line="240" w:lineRule="auto"/>
                          <w:rPr>
                            <w:sz w:val="20"/>
                            <w:szCs w:val="20"/>
                          </w:rPr>
                        </w:pPr>
                        <w:r w:rsidRPr="00954552">
                          <w:rPr>
                            <w:b/>
                            <w:color w:val="FFFFFF" w:themeColor="background1"/>
                            <w:sz w:val="20"/>
                            <w:szCs w:val="20"/>
                          </w:rPr>
                          <w:t>Pre-2005</w:t>
                        </w:r>
                      </w:p>
                    </w:txbxContent>
                  </v:textbox>
                </v:shape>
                <v:shapetype id="_x0000_t202" coordsize="21600,21600" o:spt="202" path="m,l,21600r21600,l21600,xe">
                  <v:stroke joinstyle="miter"/>
                  <v:path gradientshapeok="t" o:connecttype="rect"/>
                </v:shapetype>
                <v:shape id="Text Box 8" o:spid="_x0000_s1029" type="#_x0000_t202" style="position:absolute;left:1841;top:1841;width:24130;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" fillcolor="#236192 [3204]" strokecolor="#236192 [3204]" strokeweight=".5pt">
                  <v:textbox>
                    <w:txbxContent>
                      <w:p w14:paraId="6E1CB9ED" w14:textId="77777777" w:rsidR="00817866" w:rsidRPr="00AC1427" w:rsidRDefault="00817866" w:rsidP="00817866">
                        <w:pPr>
                          <w:spacing w:before="0" w:after="0" w:line="240" w:lineRule="auto"/>
                          <w:jc w:val="center"/>
                          <w:rPr>
                            <w:b/>
                            <w:bCs/>
                            <w:color w:val="FFFFFF" w:themeColor="background1"/>
                          </w:rPr>
                        </w:pPr>
                        <w:r w:rsidRPr="00AC1427">
                          <w:rPr>
                            <w:b/>
                            <w:bCs/>
                            <w:color w:val="FFFFFF" w:themeColor="background1"/>
                          </w:rPr>
                          <w:t>Pre-2005</w:t>
                        </w:r>
                        <w:r>
                          <w:rPr>
                            <w:b/>
                            <w:bCs/>
                            <w:color w:val="FFFFFF" w:themeColor="background1"/>
                          </w:rPr>
                          <w:t>:</w:t>
                        </w:r>
                        <w:r w:rsidRPr="00AC1427">
                          <w:rPr>
                            <w:b/>
                            <w:bCs/>
                            <w:color w:val="FFFFFF" w:themeColor="background1"/>
                          </w:rPr>
                          <w:t xml:space="preserve"> </w:t>
                        </w:r>
                        <w:r w:rsidRPr="00AC1427">
                          <w:rPr>
                            <w:b/>
                            <w:bCs/>
                            <w:color w:val="FFFFFF" w:themeColor="background1"/>
                          </w:rPr>
                          <w:br/>
                          <w:t>pre-regulation</w:t>
                        </w:r>
                      </w:p>
                      <w:p w14:paraId="5F15A2BF" w14:textId="77777777" w:rsidR="00817866" w:rsidRPr="008C1B54" w:rsidRDefault="00817866" w:rsidP="000A7423">
                        <w:pPr>
                          <w:pStyle w:val="ListParagraph"/>
                          <w:numPr>
                            <w:ilvl w:val="0"/>
                            <w:numId w:val="13"/>
                          </w:numPr>
                          <w:rPr>
                            <w:color w:val="FFFFFF" w:themeColor="background1"/>
                            <w:sz w:val="18"/>
                            <w:szCs w:val="18"/>
                          </w:rPr>
                        </w:pPr>
                        <w:r>
                          <w:rPr>
                            <w:color w:val="FFFFFF" w:themeColor="background1"/>
                            <w:sz w:val="18"/>
                            <w:szCs w:val="18"/>
                          </w:rPr>
                          <w:t>New customer contributions</w:t>
                        </w:r>
                        <w:r w:rsidRPr="00AC1427">
                          <w:rPr>
                            <w:color w:val="FFFFFF" w:themeColor="background1"/>
                            <w:sz w:val="18"/>
                            <w:szCs w:val="18"/>
                          </w:rPr>
                          <w:t xml:space="preserve"> calculated using inconsisten</w:t>
                        </w:r>
                        <w:r w:rsidRPr="008C1B54">
                          <w:rPr>
                            <w:color w:val="FFFFFF" w:themeColor="background1"/>
                            <w:sz w:val="18"/>
                            <w:szCs w:val="18"/>
                          </w:rPr>
                          <w:t>t</w:t>
                        </w:r>
                        <w:r w:rsidRPr="00AC1427">
                          <w:rPr>
                            <w:color w:val="FFFFFF" w:themeColor="background1"/>
                            <w:sz w:val="18"/>
                            <w:szCs w:val="18"/>
                          </w:rPr>
                          <w:t xml:space="preserve"> methodolo</w:t>
                        </w:r>
                        <w:r w:rsidRPr="008C1B54">
                          <w:rPr>
                            <w:color w:val="FFFFFF" w:themeColor="background1"/>
                            <w:sz w:val="18"/>
                            <w:szCs w:val="18"/>
                          </w:rPr>
                          <w:t>g</w:t>
                        </w:r>
                        <w:r w:rsidRPr="00AC1427">
                          <w:rPr>
                            <w:color w:val="FFFFFF" w:themeColor="background1"/>
                            <w:sz w:val="18"/>
                            <w:szCs w:val="18"/>
                          </w:rPr>
                          <w:t>ies across i</w:t>
                        </w:r>
                        <w:r w:rsidRPr="008C1B54">
                          <w:rPr>
                            <w:color w:val="FFFFFF" w:themeColor="background1"/>
                            <w:sz w:val="18"/>
                            <w:szCs w:val="18"/>
                          </w:rPr>
                          <w:t>ndustry</w:t>
                        </w:r>
                      </w:p>
                      <w:p w14:paraId="5C1157B8" w14:textId="77777777" w:rsidR="00817866" w:rsidRPr="00AC1427" w:rsidRDefault="00817866" w:rsidP="000A7423">
                        <w:pPr>
                          <w:pStyle w:val="ListParagraph"/>
                          <w:numPr>
                            <w:ilvl w:val="0"/>
                            <w:numId w:val="13"/>
                          </w:numPr>
                          <w:rPr>
                            <w:color w:val="FFFFFF" w:themeColor="background1"/>
                            <w:sz w:val="18"/>
                            <w:szCs w:val="18"/>
                          </w:rPr>
                        </w:pPr>
                        <w:r w:rsidRPr="008C1B54">
                          <w:rPr>
                            <w:color w:val="FFFFFF" w:themeColor="background1"/>
                            <w:sz w:val="18"/>
                            <w:szCs w:val="18"/>
                          </w:rPr>
                          <w:t>Large number of disputes as developers challenged charges</w:t>
                        </w:r>
                        <w:r>
                          <w:rPr>
                            <w:color w:val="FFFFFF" w:themeColor="background1"/>
                            <w:sz w:val="18"/>
                            <w:szCs w:val="18"/>
                          </w:rPr>
                          <w:t>.</w:t>
                        </w:r>
                        <w:r w:rsidRPr="008C1B54">
                          <w:rPr>
                            <w:color w:val="FFFFFF" w:themeColor="background1"/>
                            <w:sz w:val="18"/>
                            <w:szCs w:val="18"/>
                          </w:rPr>
                          <w:t xml:space="preserve"> </w:t>
                        </w:r>
                      </w:p>
                    </w:txbxContent>
                  </v:textbox>
                </v:shape>
                <v:shape id="Flowchart: Connector 7" o:spid="_x0000_s1030" type="#_x0000_t120" style="position:absolute;left:24066;top:20828;width:8792;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" fillcolor="#c00000" strokecolor="#c00000" strokeweight="1pt">
                  <v:stroke joinstyle="miter"/>
                  <v:textbox>
                    <w:txbxContent>
                      <w:p w14:paraId="205F21FC" w14:textId="77777777" w:rsidR="00817866" w:rsidRPr="00D65E6C" w:rsidRDefault="00817866" w:rsidP="00817866">
                        <w:pPr>
                          <w:spacing w:before="0" w:after="0" w:line="240" w:lineRule="auto"/>
                          <w:jc w:val="center"/>
                        </w:pPr>
                        <w:r>
                          <w:rPr>
                            <w:b/>
                            <w:bCs/>
                          </w:rPr>
                          <w:t xml:space="preserve">2005 </w:t>
                        </w:r>
                        <w:r w:rsidRPr="00D65E6C">
                          <w:rPr>
                            <w:b/>
                            <w:bCs/>
                          </w:rPr>
                          <w:t>-200</w:t>
                        </w:r>
                        <w:r>
                          <w:rPr>
                            <w:b/>
                            <w:bCs/>
                          </w:rPr>
                          <w:t>8</w:t>
                        </w:r>
                      </w:p>
                      <w:p w14:paraId="7CA788D9" w14:textId="77777777" w:rsidR="00817866" w:rsidRDefault="00817866" w:rsidP="00817866">
                        <w:pPr>
                          <w:spacing w:before="0" w:after="0" w:line="240" w:lineRule="auto"/>
                          <w:jc w:val="center"/>
                        </w:pPr>
                      </w:p>
                    </w:txbxContent>
                  </v:textbox>
                </v:shape>
                <v:group id="Group 7" o:spid="_x0000_s1031" style="position:absolute;left:11430;top:30226;width:28194;height:23177" coordsize="28194,2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">
                  <v:shape id="Rectangle: Diagonal Corners Rounded 3" o:spid="_x0000_s1032" style="position:absolute;width:28194;height:23177;visibility:visible;mso-wrap-style:square;v-text-anchor:middle" coordsize="2819400,23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" path="m386299,l2819400,r,l2819400,1931451v,213347,-172952,386299,-386299,386299l,2317750r,l,386299c,172952,172952,,386299,xe" fillcolor="#236192" strokecolor="#08243b" strokeweight="1pt">
                    <v:stroke joinstyle="miter"/>
                    <v:path arrowok="t" o:connecttype="custom" o:connectlocs="386299,0;2819400,0;2819400,0;2819400,1931451;2433101,2317750;0,2317750;0,2317750;0,386299;386299,0" o:connectangles="0,0,0,0,0,0,0,0,0"/>
                  </v:shape>
                  <v:shape id="Text Box 9" o:spid="_x0000_s1033" type="#_x0000_t202" style="position:absolute;left:1905;top:698;width:23749;height:2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" fillcolor="#236192 [3204]" strokecolor="#236192 [3204]" strokeweight=".5pt">
                    <v:textbox>
                      <w:txbxContent>
                        <w:p w14:paraId="4239F7E6" w14:textId="77777777" w:rsidR="00817866" w:rsidRPr="008D1304" w:rsidRDefault="00817866" w:rsidP="00817866">
                          <w:pPr>
                            <w:spacing w:before="0" w:after="0" w:line="240" w:lineRule="auto"/>
                            <w:jc w:val="center"/>
                            <w:rPr>
                              <w:b/>
                              <w:bCs/>
                              <w:color w:val="FFFFFF" w:themeColor="background1"/>
                            </w:rPr>
                          </w:pPr>
                          <w:r w:rsidRPr="008D1304">
                            <w:rPr>
                              <w:b/>
                              <w:bCs/>
                              <w:color w:val="FFFFFF" w:themeColor="background1"/>
                            </w:rPr>
                            <w:t>2005 to 2008</w:t>
                          </w:r>
                          <w:r w:rsidRPr="008D1304">
                            <w:rPr>
                              <w:b/>
                              <w:bCs/>
                              <w:color w:val="FFFFFF" w:themeColor="background1"/>
                            </w:rPr>
                            <w:br/>
                            <w:t>commencement of regulation</w:t>
                          </w:r>
                        </w:p>
                        <w:p w14:paraId="44E81130" w14:textId="77777777" w:rsidR="00817866" w:rsidRPr="008D1304" w:rsidRDefault="00817866" w:rsidP="000A7423">
                          <w:pPr>
                            <w:pStyle w:val="ListParagraph"/>
                            <w:numPr>
                              <w:ilvl w:val="0"/>
                              <w:numId w:val="14"/>
                            </w:numPr>
                            <w:rPr>
                              <w:color w:val="FFFFFF" w:themeColor="background1"/>
                              <w:sz w:val="18"/>
                              <w:szCs w:val="18"/>
                            </w:rPr>
                          </w:pPr>
                          <w:r w:rsidRPr="008D1304">
                            <w:rPr>
                              <w:color w:val="FFFFFF" w:themeColor="background1"/>
                              <w:sz w:val="18"/>
                              <w:szCs w:val="18"/>
                            </w:rPr>
                            <w:t>Commission sets standard charges at $500 per lot per service to address perceived inequity in charging regimes</w:t>
                          </w:r>
                        </w:p>
                        <w:p w14:paraId="15E84817" w14:textId="77777777" w:rsidR="00817866" w:rsidRPr="008D1304" w:rsidRDefault="00817866" w:rsidP="00817866">
                          <w:pPr>
                            <w:pStyle w:val="ListParagraph"/>
                            <w:numPr>
                              <w:ilvl w:val="0"/>
                              <w:numId w:val="0"/>
                            </w:numPr>
                            <w:rPr>
                              <w:color w:val="FFFFFF" w:themeColor="background1"/>
                              <w:sz w:val="18"/>
                              <w:szCs w:val="18"/>
                            </w:rPr>
                          </w:pPr>
                        </w:p>
                        <w:p w14:paraId="0B22522E" w14:textId="77777777" w:rsidR="00817866" w:rsidRPr="008D1304" w:rsidRDefault="00817866" w:rsidP="000A7423">
                          <w:pPr>
                            <w:pStyle w:val="ListParagraph"/>
                            <w:numPr>
                              <w:ilvl w:val="0"/>
                              <w:numId w:val="14"/>
                            </w:numPr>
                            <w:rPr>
                              <w:color w:val="FFFFFF" w:themeColor="background1"/>
                              <w:sz w:val="18"/>
                              <w:szCs w:val="18"/>
                            </w:rPr>
                          </w:pPr>
                          <w:r w:rsidRPr="008D1304">
                            <w:rPr>
                              <w:color w:val="FFFFFF" w:themeColor="background1"/>
                              <w:sz w:val="18"/>
                              <w:szCs w:val="18"/>
                            </w:rPr>
                            <w:t xml:space="preserve">Negotiated charges to apply where standard charges did not apply. The commission did not approve negotiated charges but reviewed </w:t>
                          </w:r>
                          <w:r>
                            <w:rPr>
                              <w:color w:val="FFFFFF" w:themeColor="background1"/>
                              <w:sz w:val="18"/>
                              <w:szCs w:val="18"/>
                            </w:rPr>
                            <w:t>business’</w:t>
                          </w:r>
                          <w:r w:rsidRPr="008D1304">
                            <w:rPr>
                              <w:color w:val="FFFFFF" w:themeColor="background1"/>
                              <w:sz w:val="18"/>
                              <w:szCs w:val="18"/>
                            </w:rPr>
                            <w:t xml:space="preserve"> negotiating framework. </w:t>
                          </w:r>
                        </w:p>
                      </w:txbxContent>
                    </v:textbox>
                  </v:shape>
                </v:group>
                <v:shape id="Flowchart: Connector 7" o:spid="_x0000_s1034" type="#_x0000_t120" style="position:absolute;left:43497;top:21526;width:8792;height:5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" fillcolor="#c00000" strokecolor="#1a486d [2404]" strokeweight="1pt">
                  <v:stroke joinstyle="miter"/>
                  <v:textbox>
                    <w:txbxContent>
                      <w:p w14:paraId="3EB76E8D" w14:textId="77777777" w:rsidR="00817866" w:rsidRPr="000644B9" w:rsidRDefault="00817866" w:rsidP="00817866">
                        <w:pPr>
                          <w:spacing w:before="0" w:after="0" w:line="240" w:lineRule="auto"/>
                          <w:jc w:val="center"/>
                          <w:rPr>
                            <w:b/>
                            <w:bCs/>
                          </w:rPr>
                        </w:pPr>
                        <w:r w:rsidRPr="000644B9">
                          <w:rPr>
                            <w:b/>
                            <w:bCs/>
                          </w:rPr>
                          <w:t>2008</w:t>
                        </w:r>
                      </w:p>
                    </w:txbxContent>
                  </v:textbox>
                </v:shape>
                <v:group id="Group 4" o:spid="_x0000_s1035" style="position:absolute;left:31940;top:825;width:33655;height:16637" coordorigin=",-63" coordsize="38417,1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">
                  <v:shape id="Rectangle: Diagonal Corners Rounded 3" o:spid="_x0000_s1036" style="position:absolute;width:38417;height:16573;visibility:visible;mso-wrap-style:square;v-text-anchor:middle" coordsize="3841750,165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" path="m276231,l3841750,r,l3841750,1381119v,152558,-123673,276231,-276231,276231l,1657350r,l,276231c,123673,123673,,276231,xe" fillcolor="#236192 [3204]" strokecolor="#050e15 [484]" strokeweight="1pt">
                    <v:stroke joinstyle="miter"/>
                    <v:path arrowok="t" o:connecttype="custom" o:connectlocs="276231,0;3841750,0;3841750,0;3841750,1381119;3565519,1657350;0,1657350;0,1657350;0,276231;276231,0" o:connectangles="0,0,0,0,0,0,0,0,0"/>
                  </v:shape>
                  <v:shape id="Text Box 11" o:spid="_x0000_s1037" type="#_x0000_t202" style="position:absolute;left:2304;top:-63;width:34925;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" fillcolor="#236192 [3204]" stroked="f" strokeweight=".5pt">
                    <v:textbox>
                      <w:txbxContent>
                        <w:p w14:paraId="1E18E7C6" w14:textId="77777777" w:rsidR="00817866" w:rsidRPr="00CC3911" w:rsidRDefault="00817866" w:rsidP="00817866">
                          <w:pPr>
                            <w:spacing w:before="0" w:after="0" w:line="240" w:lineRule="auto"/>
                            <w:jc w:val="center"/>
                            <w:rPr>
                              <w:b/>
                              <w:bCs/>
                              <w:color w:val="FFFFFF" w:themeColor="background1"/>
                            </w:rPr>
                          </w:pPr>
                          <w:r w:rsidRPr="00CC3911">
                            <w:rPr>
                              <w:b/>
                              <w:bCs/>
                              <w:color w:val="FFFFFF" w:themeColor="background1"/>
                            </w:rPr>
                            <w:t>2008</w:t>
                          </w:r>
                          <w:r>
                            <w:rPr>
                              <w:b/>
                              <w:bCs/>
                              <w:color w:val="FFFFFF" w:themeColor="background1"/>
                            </w:rPr>
                            <w:t xml:space="preserve">: </w:t>
                          </w:r>
                          <w:r>
                            <w:rPr>
                              <w:b/>
                              <w:bCs/>
                              <w:color w:val="FFFFFF" w:themeColor="background1"/>
                            </w:rPr>
                            <w:br/>
                            <w:t>standard NCCs doubled and lot sizing introduced</w:t>
                          </w:r>
                        </w:p>
                        <w:p w14:paraId="3C805485" w14:textId="77777777" w:rsidR="00817866" w:rsidRPr="00CC3911" w:rsidRDefault="00817866" w:rsidP="000A7423">
                          <w:pPr>
                            <w:pStyle w:val="ListParagraph"/>
                            <w:numPr>
                              <w:ilvl w:val="0"/>
                              <w:numId w:val="15"/>
                            </w:numPr>
                            <w:rPr>
                              <w:color w:val="FFFFFF" w:themeColor="background1"/>
                              <w:sz w:val="18"/>
                              <w:szCs w:val="18"/>
                            </w:rPr>
                          </w:pPr>
                          <w:r w:rsidRPr="00CC3911">
                            <w:rPr>
                              <w:color w:val="FFFFFF" w:themeColor="background1"/>
                              <w:sz w:val="18"/>
                              <w:szCs w:val="18"/>
                            </w:rPr>
                            <w:t>Industry pressure for standard charges greater than $500 per lot</w:t>
                          </w:r>
                          <w:r>
                            <w:rPr>
                              <w:color w:val="FFFFFF" w:themeColor="background1"/>
                              <w:sz w:val="18"/>
                              <w:szCs w:val="18"/>
                            </w:rPr>
                            <w:t xml:space="preserve"> per service</w:t>
                          </w:r>
                          <w:r w:rsidRPr="00CC3911">
                            <w:rPr>
                              <w:color w:val="FFFFFF" w:themeColor="background1"/>
                              <w:sz w:val="18"/>
                              <w:szCs w:val="18"/>
                            </w:rPr>
                            <w:t xml:space="preserve">, as the </w:t>
                          </w:r>
                          <w:r>
                            <w:rPr>
                              <w:color w:val="FFFFFF" w:themeColor="background1"/>
                              <w:sz w:val="18"/>
                              <w:szCs w:val="18"/>
                            </w:rPr>
                            <w:t>prevailing</w:t>
                          </w:r>
                          <w:r w:rsidRPr="00CC3911">
                            <w:rPr>
                              <w:color w:val="FFFFFF" w:themeColor="background1"/>
                              <w:sz w:val="18"/>
                              <w:szCs w:val="18"/>
                            </w:rPr>
                            <w:t xml:space="preserve"> charge did not cover costs</w:t>
                          </w:r>
                        </w:p>
                        <w:p w14:paraId="223757FF" w14:textId="77777777" w:rsidR="00817866" w:rsidRDefault="00817866" w:rsidP="000A7423">
                          <w:pPr>
                            <w:pStyle w:val="ListParagraph"/>
                            <w:numPr>
                              <w:ilvl w:val="0"/>
                              <w:numId w:val="15"/>
                            </w:numPr>
                            <w:rPr>
                              <w:color w:val="FFFFFF" w:themeColor="background1"/>
                              <w:sz w:val="18"/>
                              <w:szCs w:val="18"/>
                            </w:rPr>
                          </w:pPr>
                          <w:r w:rsidRPr="00CC3911">
                            <w:rPr>
                              <w:color w:val="FFFFFF" w:themeColor="background1"/>
                              <w:sz w:val="18"/>
                              <w:szCs w:val="18"/>
                            </w:rPr>
                            <w:t xml:space="preserve">This led to three tier charging depending on lot size </w:t>
                          </w:r>
                        </w:p>
                        <w:p w14:paraId="403797C5" w14:textId="77777777" w:rsidR="00817866" w:rsidRPr="00CC3911" w:rsidRDefault="00817866" w:rsidP="000A7423">
                          <w:pPr>
                            <w:pStyle w:val="ListParagraph"/>
                            <w:numPr>
                              <w:ilvl w:val="0"/>
                              <w:numId w:val="15"/>
                            </w:numPr>
                            <w:rPr>
                              <w:color w:val="FFFFFF" w:themeColor="background1"/>
                              <w:sz w:val="18"/>
                              <w:szCs w:val="18"/>
                            </w:rPr>
                          </w:pPr>
                          <w:r w:rsidRPr="00CC3911">
                            <w:rPr>
                              <w:color w:val="FFFFFF" w:themeColor="background1"/>
                              <w:sz w:val="18"/>
                              <w:szCs w:val="18"/>
                            </w:rPr>
                            <w:t xml:space="preserve">Negotiated </w:t>
                          </w:r>
                          <w:r>
                            <w:rPr>
                              <w:color w:val="FFFFFF" w:themeColor="background1"/>
                              <w:sz w:val="18"/>
                              <w:szCs w:val="18"/>
                            </w:rPr>
                            <w:t>NCCs</w:t>
                          </w:r>
                          <w:r w:rsidRPr="00CC3911">
                            <w:rPr>
                              <w:color w:val="FFFFFF" w:themeColor="background1"/>
                              <w:sz w:val="18"/>
                              <w:szCs w:val="18"/>
                            </w:rPr>
                            <w:t xml:space="preserve"> framework</w:t>
                          </w:r>
                          <w:r>
                            <w:rPr>
                              <w:color w:val="FFFFFF" w:themeColor="background1"/>
                              <w:sz w:val="18"/>
                              <w:szCs w:val="18"/>
                            </w:rPr>
                            <w:t xml:space="preserve"> remained in place.</w:t>
                          </w:r>
                          <w:r w:rsidRPr="00CC3911">
                            <w:rPr>
                              <w:color w:val="FFFFFF" w:themeColor="background1"/>
                              <w:sz w:val="18"/>
                              <w:szCs w:val="18"/>
                            </w:rPr>
                            <w:t xml:space="preserve"> </w:t>
                          </w:r>
                        </w:p>
                        <w:p w14:paraId="2FC63B02" w14:textId="77777777" w:rsidR="00817866" w:rsidRDefault="00817866" w:rsidP="00817866"/>
                      </w:txbxContent>
                    </v:textbox>
                  </v:shape>
                </v:group>
                <v:shape id="Flowchart: Connector 7" o:spid="_x0000_s1038" type="#_x0000_t120" style="position:absolute;left:63246;top:20955;width:9277;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" fillcolor="#c00000" strokecolor="#1a496d" strokeweight="1pt">
                  <v:stroke joinstyle="miter"/>
                  <v:textbox>
                    <w:txbxContent>
                      <w:p w14:paraId="62D2786B" w14:textId="77777777" w:rsidR="00817866" w:rsidRPr="0073156A" w:rsidRDefault="00817866" w:rsidP="00817866">
                        <w:pPr>
                          <w:spacing w:before="0" w:after="0" w:line="240" w:lineRule="auto"/>
                          <w:jc w:val="center"/>
                          <w:rPr>
                            <w:b/>
                            <w:bCs/>
                          </w:rPr>
                        </w:pPr>
                        <w:r w:rsidRPr="0073156A">
                          <w:rPr>
                            <w:b/>
                            <w:bCs/>
                          </w:rPr>
                          <w:t>2010-2012</w:t>
                        </w:r>
                      </w:p>
                    </w:txbxContent>
                  </v:textbox>
                </v:shape>
                <v:group id="Group 6" o:spid="_x0000_s1039" style="position:absolute;left:51308;top:29083;width:32956;height:24701" coordsize="32956,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">
                  <v:shape id="Rectangle: Diagonal Corners Rounded 3" o:spid="_x0000_s1040" style="position:absolute;width:32956;height:24701;visibility:visible;mso-wrap-style:square;v-text-anchor:middle" coordsize="3295650,24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" path="m411700,l3295650,r,l3295650,2058450v,227376,-184324,411700,-411700,411700l,2470150r,l,411700c,184324,184324,,411700,xe" fillcolor="#236192" strokecolor="#08243b" strokeweight="1pt">
                    <v:stroke joinstyle="miter"/>
                    <v:path arrowok="t" o:connecttype="custom" o:connectlocs="411700,0;3295650,0;3295650,0;3295650,2058450;2883950,2470150;0,2470150;0,2470150;0,411700;411700,0" o:connectangles="0,0,0,0,0,0,0,0,0"/>
                  </v:shape>
                  <v:shape id="Text Box 14" o:spid="_x0000_s1041" type="#_x0000_t202" style="position:absolute;left:2222;top:444;width:28321;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" fillcolor="#236192 [3204]" strokecolor="#236192 [3204]" strokeweight=".5pt">
                    <v:textbox>
                      <w:txbxContent>
                        <w:p w14:paraId="3F627FA8" w14:textId="77777777" w:rsidR="00817866" w:rsidRPr="009F35B6" w:rsidRDefault="00817866" w:rsidP="00817866">
                          <w:pPr>
                            <w:spacing w:before="0" w:after="0" w:line="240" w:lineRule="auto"/>
                            <w:jc w:val="center"/>
                            <w:rPr>
                              <w:b/>
                              <w:bCs/>
                              <w:color w:val="FFFFFF" w:themeColor="background1"/>
                            </w:rPr>
                          </w:pPr>
                          <w:r w:rsidRPr="009F35B6">
                            <w:rPr>
                              <w:b/>
                              <w:bCs/>
                              <w:color w:val="FFFFFF" w:themeColor="background1"/>
                            </w:rPr>
                            <w:t>2010 to 2012</w:t>
                          </w:r>
                          <w:r w:rsidRPr="009F35B6">
                            <w:rPr>
                              <w:b/>
                              <w:bCs/>
                              <w:color w:val="FFFFFF" w:themeColor="background1"/>
                            </w:rPr>
                            <w:br/>
                            <w:t xml:space="preserve">extensive regulatory review of </w:t>
                          </w:r>
                          <w:r>
                            <w:rPr>
                              <w:b/>
                              <w:bCs/>
                              <w:color w:val="FFFFFF" w:themeColor="background1"/>
                            </w:rPr>
                            <w:t>new customer contributions</w:t>
                          </w:r>
                          <w:r w:rsidRPr="009F35B6">
                            <w:rPr>
                              <w:b/>
                              <w:bCs/>
                              <w:color w:val="FFFFFF" w:themeColor="background1"/>
                            </w:rPr>
                            <w:t xml:space="preserve"> by the commission</w:t>
                          </w:r>
                        </w:p>
                        <w:p w14:paraId="40C82141" w14:textId="77777777" w:rsidR="00817866" w:rsidRPr="009F35B6" w:rsidRDefault="00817866" w:rsidP="00817866">
                          <w:pPr>
                            <w:rPr>
                              <w:color w:val="FFFFFF" w:themeColor="background1"/>
                              <w:sz w:val="18"/>
                              <w:szCs w:val="18"/>
                            </w:rPr>
                          </w:pPr>
                          <w:r>
                            <w:rPr>
                              <w:color w:val="FFFFFF" w:themeColor="background1"/>
                              <w:sz w:val="18"/>
                              <w:szCs w:val="18"/>
                            </w:rPr>
                            <w:t>Review undertaken</w:t>
                          </w:r>
                          <w:r w:rsidRPr="009F35B6" w:rsidDel="00EC7CF1">
                            <w:rPr>
                              <w:color w:val="FFFFFF" w:themeColor="background1"/>
                              <w:sz w:val="18"/>
                              <w:szCs w:val="18"/>
                            </w:rPr>
                            <w:t xml:space="preserve"> </w:t>
                          </w:r>
                          <w:r>
                            <w:rPr>
                              <w:color w:val="FFFFFF" w:themeColor="background1"/>
                              <w:sz w:val="18"/>
                              <w:szCs w:val="18"/>
                            </w:rPr>
                            <w:t>i</w:t>
                          </w:r>
                          <w:r w:rsidRPr="009F35B6">
                            <w:rPr>
                              <w:color w:val="FFFFFF" w:themeColor="background1"/>
                              <w:sz w:val="18"/>
                              <w:szCs w:val="18"/>
                            </w:rPr>
                            <w:t>n response to disputes between water businesses and developers on:</w:t>
                          </w:r>
                        </w:p>
                        <w:p w14:paraId="58B0908E" w14:textId="77777777" w:rsidR="00817866" w:rsidRPr="009F35B6" w:rsidRDefault="00817866" w:rsidP="000A7423">
                          <w:pPr>
                            <w:pStyle w:val="ListParagraph"/>
                            <w:numPr>
                              <w:ilvl w:val="0"/>
                              <w:numId w:val="30"/>
                            </w:numPr>
                            <w:rPr>
                              <w:color w:val="FFFFFF" w:themeColor="background1"/>
                              <w:sz w:val="18"/>
                              <w:szCs w:val="18"/>
                            </w:rPr>
                          </w:pPr>
                          <w:r w:rsidRPr="009F35B6">
                            <w:rPr>
                              <w:color w:val="FFFFFF" w:themeColor="background1"/>
                              <w:sz w:val="18"/>
                              <w:szCs w:val="18"/>
                            </w:rPr>
                            <w:t>lack of clarity on costs that charges are required to cover</w:t>
                          </w:r>
                        </w:p>
                        <w:p w14:paraId="08A67E8B" w14:textId="77777777" w:rsidR="00817866" w:rsidRPr="009F35B6" w:rsidRDefault="00817866" w:rsidP="000A7423">
                          <w:pPr>
                            <w:pStyle w:val="ListParagraph"/>
                            <w:numPr>
                              <w:ilvl w:val="0"/>
                              <w:numId w:val="30"/>
                            </w:numPr>
                            <w:rPr>
                              <w:color w:val="FFFFFF" w:themeColor="background1"/>
                              <w:sz w:val="18"/>
                              <w:szCs w:val="18"/>
                            </w:rPr>
                          </w:pPr>
                          <w:r w:rsidRPr="009F35B6">
                            <w:rPr>
                              <w:color w:val="FFFFFF" w:themeColor="background1"/>
                              <w:sz w:val="18"/>
                              <w:szCs w:val="18"/>
                            </w:rPr>
                            <w:t>complex definitions on bring forward charges and reticulation assets</w:t>
                          </w:r>
                        </w:p>
                        <w:p w14:paraId="76513DA2" w14:textId="77777777" w:rsidR="00817866" w:rsidRPr="009F35B6" w:rsidRDefault="00817866" w:rsidP="000A7423">
                          <w:pPr>
                            <w:pStyle w:val="ListParagraph"/>
                            <w:numPr>
                              <w:ilvl w:val="0"/>
                              <w:numId w:val="30"/>
                            </w:numPr>
                            <w:rPr>
                              <w:color w:val="FFFFFF" w:themeColor="background1"/>
                              <w:sz w:val="18"/>
                              <w:szCs w:val="18"/>
                            </w:rPr>
                          </w:pPr>
                          <w:r w:rsidRPr="009F35B6">
                            <w:rPr>
                              <w:color w:val="FFFFFF" w:themeColor="background1"/>
                              <w:sz w:val="18"/>
                              <w:szCs w:val="18"/>
                            </w:rPr>
                            <w:t xml:space="preserve">lack of consistency between water businesses on application of </w:t>
                          </w:r>
                          <w:r>
                            <w:rPr>
                              <w:color w:val="FFFFFF" w:themeColor="background1"/>
                              <w:sz w:val="18"/>
                              <w:szCs w:val="18"/>
                            </w:rPr>
                            <w:t>NCCs.</w:t>
                          </w:r>
                        </w:p>
                      </w:txbxContent>
                    </v:textbox>
                  </v:shape>
                </v:group>
                <v:shape id="Flowchart: Connector 7" o:spid="_x0000_s1042" type="#_x0000_t120" style="position:absolute;left:81216;top:20760;width:10547;height:5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" fillcolor="#c00000" strokecolor="#1a496d" strokeweight="1pt">
                  <v:stroke joinstyle="miter"/>
                  <v:textbox>
                    <w:txbxContent>
                      <w:p w14:paraId="25B67753" w14:textId="77777777" w:rsidR="00817866" w:rsidRPr="002D72C0" w:rsidRDefault="00817866" w:rsidP="00817866">
                        <w:pPr>
                          <w:spacing w:before="0" w:after="0" w:line="240" w:lineRule="auto"/>
                          <w:jc w:val="both"/>
                          <w:rPr>
                            <w:b/>
                            <w:bCs/>
                          </w:rPr>
                        </w:pPr>
                        <w:r w:rsidRPr="002D72C0">
                          <w:rPr>
                            <w:b/>
                            <w:bCs/>
                          </w:rPr>
                          <w:t>2013-</w:t>
                        </w:r>
                        <w:r>
                          <w:rPr>
                            <w:b/>
                            <w:bCs/>
                          </w:rPr>
                          <w:t>curren</w:t>
                        </w:r>
                        <w:r w:rsidRPr="002D72C0">
                          <w:rPr>
                            <w:b/>
                            <w:bCs/>
                          </w:rPr>
                          <w:t>t</w:t>
                        </w:r>
                      </w:p>
                    </w:txbxContent>
                  </v:textbox>
                </v:shape>
                <v:group id="Group 5" o:spid="_x0000_s1043" style="position:absolute;left:71755;width:26416;height:16383" coordsize="26416,1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">
                  <v:shape id="Rectangle: Diagonal Corners Rounded 3" o:spid="_x0000_s1044" style="position:absolute;width:26416;height:16679;visibility:visible;mso-wrap-style:square;v-text-anchor:middle" coordsize="2641600,1667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" path="m278002,l2641600,r,l2641600,1389976v,153536,-124466,278002,-278002,278002l,1667978r,l,278002c,124466,124466,,278002,xe" fillcolor="#ed8b00 [3207]" strokecolor="#08243b" strokeweight="1pt">
                    <v:stroke joinstyle="miter"/>
                    <v:path arrowok="t" o:connecttype="custom" o:connectlocs="278002,0;2641600,0;2641600,0;2641600,1389976;2363598,1667978;0,1667978;0,1667978;0,278002;278002,0" o:connectangles="0,0,0,0,0,0,0,0,0"/>
                  </v:shape>
                  <v:shape id="Text Box 15" o:spid="_x0000_s1045" type="#_x0000_t202" style="position:absolute;left:1206;top:376;width:24384;height:1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" fillcolor="#ed8b00 [3207]" stroked="f" strokeweight=".5pt">
                    <v:textbox>
                      <w:txbxContent>
                        <w:p w14:paraId="640C6E36" w14:textId="503BB6DB" w:rsidR="00817866" w:rsidRPr="003130C3" w:rsidRDefault="00817866" w:rsidP="00817866">
                          <w:pPr>
                            <w:spacing w:before="0" w:after="0" w:line="240" w:lineRule="auto"/>
                            <w:jc w:val="center"/>
                            <w:rPr>
                              <w:b/>
                              <w:color w:val="FFFFFF" w:themeColor="background1"/>
                              <w:sz w:val="21"/>
                              <w:szCs w:val="21"/>
                              <w14:textOutline w14:w="9525" w14:cap="rnd" w14:cmpd="sng" w14:algn="ctr">
                                <w14:noFill/>
                                <w14:prstDash w14:val="solid"/>
                                <w14:bevel/>
                              </w14:textOutline>
                            </w:rPr>
                          </w:pPr>
                          <w:r w:rsidRPr="003130C3">
                            <w:rPr>
                              <w:b/>
                              <w:color w:val="FFFFFF" w:themeColor="background1"/>
                              <w:sz w:val="21"/>
                              <w:szCs w:val="21"/>
                              <w14:textOutline w14:w="9525" w14:cap="rnd" w14:cmpd="sng" w14:algn="ctr">
                                <w14:noFill/>
                                <w14:prstDash w14:val="solid"/>
                                <w14:bevel/>
                              </w14:textOutline>
                            </w:rPr>
                            <w:t>2013 onwards:</w:t>
                          </w:r>
                          <w:r w:rsidRPr="003130C3">
                            <w:rPr>
                              <w:b/>
                              <w:color w:val="FFFFFF" w:themeColor="background1"/>
                              <w:sz w:val="21"/>
                              <w:szCs w:val="21"/>
                              <w14:textOutline w14:w="9525" w14:cap="rnd" w14:cmpd="sng" w14:algn="ctr">
                                <w14:noFill/>
                                <w14:prstDash w14:val="solid"/>
                                <w14:bevel/>
                              </w14:textOutline>
                            </w:rPr>
                            <w:br/>
                            <w:t xml:space="preserve">current </w:t>
                          </w:r>
                          <w:r>
                            <w:rPr>
                              <w:b/>
                              <w:color w:val="FFFFFF" w:themeColor="background1"/>
                              <w:sz w:val="21"/>
                              <w:szCs w:val="21"/>
                              <w14:textOutline w14:w="9525" w14:cap="rnd" w14:cmpd="sng" w14:algn="ctr">
                                <w14:noFill/>
                                <w14:prstDash w14:val="solid"/>
                                <w14:bevel/>
                              </w14:textOutline>
                            </w:rPr>
                            <w:t>principles</w:t>
                          </w:r>
                          <w:r w:rsidR="00E81104">
                            <w:rPr>
                              <w:b/>
                              <w:color w:val="FFFFFF" w:themeColor="background1"/>
                              <w:sz w:val="21"/>
                              <w:szCs w:val="21"/>
                              <w14:textOutline w14:w="9525" w14:cap="rnd" w14:cmpd="sng" w14:algn="ctr">
                                <w14:noFill/>
                                <w14:prstDash w14:val="solid"/>
                                <w14:bevel/>
                              </w14:textOutline>
                            </w:rPr>
                            <w:t>-</w:t>
                          </w:r>
                          <w:r>
                            <w:rPr>
                              <w:b/>
                              <w:color w:val="FFFFFF" w:themeColor="background1"/>
                              <w:sz w:val="21"/>
                              <w:szCs w:val="21"/>
                              <w14:textOutline w14:w="9525" w14:cap="rnd" w14:cmpd="sng" w14:algn="ctr">
                                <w14:noFill/>
                                <w14:prstDash w14:val="solid"/>
                                <w14:bevel/>
                              </w14:textOutline>
                            </w:rPr>
                            <w:t xml:space="preserve">based NCCs framework </w:t>
                          </w:r>
                        </w:p>
                        <w:p w14:paraId="4BECFD43" w14:textId="1509DE8F" w:rsidR="00817866" w:rsidRPr="006409B2" w:rsidRDefault="00817866" w:rsidP="000A7423">
                          <w:pPr>
                            <w:pStyle w:val="ListParagraph"/>
                            <w:numPr>
                              <w:ilvl w:val="0"/>
                              <w:numId w:val="22"/>
                            </w:numPr>
                            <w:tabs>
                              <w:tab w:val="num" w:pos="360"/>
                            </w:tabs>
                            <w:ind w:left="284" w:hanging="284"/>
                            <w:rPr>
                              <w:color w:val="FFFFFF" w:themeColor="background1"/>
                              <w:sz w:val="18"/>
                              <w:szCs w:val="18"/>
                              <w14:textOutline w14:w="9525" w14:cap="rnd" w14:cmpd="sng" w14:algn="ctr">
                                <w14:noFill/>
                                <w14:prstDash w14:val="solid"/>
                                <w14:bevel/>
                              </w14:textOutline>
                            </w:rPr>
                          </w:pPr>
                          <w:r w:rsidRPr="007744DC">
                            <w:rPr>
                              <w:color w:val="FFFFFF" w:themeColor="background1"/>
                              <w:sz w:val="18"/>
                              <w:szCs w:val="18"/>
                              <w14:textOutline w14:w="9525" w14:cap="rnd" w14:cmpd="sng" w14:algn="ctr">
                                <w14:noFill/>
                                <w14:prstDash w14:val="solid"/>
                                <w14:bevel/>
                              </w14:textOutline>
                            </w:rPr>
                            <w:t xml:space="preserve">The </w:t>
                          </w:r>
                          <w:r>
                            <w:rPr>
                              <w:color w:val="FFFFFF" w:themeColor="background1"/>
                              <w:sz w:val="18"/>
                              <w:szCs w:val="18"/>
                              <w14:textOutline w14:w="9525" w14:cap="rnd" w14:cmpd="sng" w14:algn="ctr">
                                <w14:noFill/>
                                <w14:prstDash w14:val="solid"/>
                                <w14:bevel/>
                              </w14:textOutline>
                            </w:rPr>
                            <w:t>principle</w:t>
                          </w:r>
                          <w:r w:rsidR="00E81104">
                            <w:rPr>
                              <w:color w:val="FFFFFF" w:themeColor="background1"/>
                              <w:sz w:val="18"/>
                              <w:szCs w:val="18"/>
                              <w14:textOutline w14:w="9525" w14:cap="rnd" w14:cmpd="sng" w14:algn="ctr">
                                <w14:noFill/>
                                <w14:prstDash w14:val="solid"/>
                                <w14:bevel/>
                              </w14:textOutline>
                            </w:rPr>
                            <w:t>s-</w:t>
                          </w:r>
                          <w:r>
                            <w:rPr>
                              <w:color w:val="FFFFFF" w:themeColor="background1"/>
                              <w:sz w:val="18"/>
                              <w:szCs w:val="18"/>
                              <w14:textOutline w14:w="9525" w14:cap="rnd" w14:cmpd="sng" w14:algn="ctr">
                                <w14:noFill/>
                                <w14:prstDash w14:val="solid"/>
                                <w14:bevel/>
                              </w14:textOutline>
                            </w:rPr>
                            <w:t xml:space="preserve">based </w:t>
                          </w:r>
                          <w:r w:rsidRPr="007744DC">
                            <w:rPr>
                              <w:color w:val="FFFFFF" w:themeColor="background1"/>
                              <w:sz w:val="18"/>
                              <w:szCs w:val="18"/>
                              <w14:textOutline w14:w="9525" w14:cap="rnd" w14:cmpd="sng" w14:algn="ctr">
                                <w14:noFill/>
                                <w14:prstDash w14:val="solid"/>
                                <w14:bevel/>
                              </w14:textOutline>
                            </w:rPr>
                            <w:t xml:space="preserve">framework </w:t>
                          </w:r>
                          <w:r>
                            <w:rPr>
                              <w:color w:val="FFFFFF" w:themeColor="background1"/>
                              <w:sz w:val="18"/>
                              <w:szCs w:val="18"/>
                              <w14:textOutline w14:w="9525" w14:cap="rnd" w14:cmpd="sng" w14:algn="ctr">
                                <w14:noFill/>
                                <w14:prstDash w14:val="solid"/>
                                <w14:bevel/>
                              </w14:textOutline>
                            </w:rPr>
                            <w:t>in place in 2013</w:t>
                          </w:r>
                        </w:p>
                        <w:p w14:paraId="5DBCBF8A" w14:textId="1DE2D41D" w:rsidR="00817866" w:rsidRPr="00AF38A7" w:rsidRDefault="00817866" w:rsidP="000A7423">
                          <w:pPr>
                            <w:pStyle w:val="ListParagraph"/>
                            <w:numPr>
                              <w:ilvl w:val="0"/>
                              <w:numId w:val="22"/>
                            </w:numPr>
                            <w:tabs>
                              <w:tab w:val="num" w:pos="360"/>
                            </w:tabs>
                            <w:ind w:left="284" w:hanging="284"/>
                            <w:rPr>
                              <w:sz w:val="18"/>
                              <w:szCs w:val="18"/>
                              <w14:textOutline w14:w="9525" w14:cap="rnd" w14:cmpd="sng" w14:algn="ctr">
                                <w14:noFill/>
                                <w14:prstDash w14:val="solid"/>
                                <w14:bevel/>
                              </w14:textOutline>
                            </w:rPr>
                          </w:pPr>
                          <w:r w:rsidRPr="008A6396">
                            <w:rPr>
                              <w:color w:val="FFFFFF" w:themeColor="background1"/>
                              <w:sz w:val="18"/>
                              <w:szCs w:val="18"/>
                              <w14:textOutline w14:w="9525" w14:cap="rnd" w14:cmpd="sng" w14:algn="ctr">
                                <w14:noFill/>
                                <w14:prstDash w14:val="solid"/>
                                <w14:bevel/>
                              </w14:textOutline>
                            </w:rPr>
                            <w:t>2023</w:t>
                          </w:r>
                          <w:r>
                            <w:rPr>
                              <w:color w:val="FFFFFF" w:themeColor="background1"/>
                              <w:sz w:val="18"/>
                              <w:szCs w:val="18"/>
                              <w14:textOutline w14:w="9525" w14:cap="rnd" w14:cmpd="sng" w14:algn="ctr">
                                <w14:noFill/>
                                <w14:prstDash w14:val="solid"/>
                                <w14:bevel/>
                              </w14:textOutline>
                            </w:rPr>
                            <w:t xml:space="preserve"> </w:t>
                          </w:r>
                          <w:r w:rsidRPr="008A6396">
                            <w:rPr>
                              <w:color w:val="FFFFFF" w:themeColor="background1"/>
                              <w:sz w:val="18"/>
                              <w:szCs w:val="18"/>
                              <w14:textOutline w14:w="9525" w14:cap="rnd" w14:cmpd="sng" w14:algn="ctr">
                                <w14:noFill/>
                                <w14:prstDash w14:val="solid"/>
                                <w14:bevel/>
                              </w14:textOutline>
                            </w:rPr>
                            <w:t xml:space="preserve">price review found implementation issues </w:t>
                          </w:r>
                          <w:r>
                            <w:rPr>
                              <w:color w:val="FFFFFF" w:themeColor="background1"/>
                              <w:sz w:val="18"/>
                              <w:szCs w:val="18"/>
                              <w14:textOutline w14:w="9525" w14:cap="rnd" w14:cmpd="sng" w14:algn="ctr">
                                <w14:noFill/>
                                <w14:prstDash w14:val="solid"/>
                                <w14:bevel/>
                              </w14:textOutline>
                            </w:rPr>
                            <w:t xml:space="preserve">that led us to initiate this </w:t>
                          </w:r>
                          <w:r w:rsidRPr="002518E3">
                            <w:rPr>
                              <w:color w:val="FFFFFF" w:themeColor="background1"/>
                              <w:sz w:val="18"/>
                              <w:szCs w:val="18"/>
                              <w14:textOutline w14:w="9525" w14:cap="rnd" w14:cmpd="sng" w14:algn="ctr">
                                <w14:noFill/>
                                <w14:prstDash w14:val="solid"/>
                                <w14:bevel/>
                              </w14:textOutline>
                            </w:rPr>
                            <w:t>2024 review</w:t>
                          </w:r>
                          <w:r>
                            <w:rPr>
                              <w:color w:val="FFFFFF" w:themeColor="background1"/>
                              <w:sz w:val="18"/>
                              <w:szCs w:val="18"/>
                              <w14:textOutline w14:w="9525" w14:cap="rnd" w14:cmpd="sng" w14:algn="ctr">
                                <w14:noFill/>
                                <w14:prstDash w14:val="solid"/>
                                <w14:bevel/>
                              </w14:textOutline>
                            </w:rPr>
                            <w:t xml:space="preserve"> of NCCs framework.</w:t>
                          </w:r>
                          <w:r w:rsidRPr="002518E3">
                            <w:rPr>
                              <w:color w:val="FFFFFF" w:themeColor="background1"/>
                              <w:sz w:val="18"/>
                              <w:szCs w:val="18"/>
                              <w14:textOutline w14:w="9525" w14:cap="rnd" w14:cmpd="sng" w14:algn="ctr">
                                <w14:noFill/>
                                <w14:prstDash w14:val="solid"/>
                                <w14:bevel/>
                              </w14:textOutline>
                            </w:rPr>
                            <w:t xml:space="preserve"> </w:t>
                          </w:r>
                        </w:p>
                      </w:txbxContent>
                    </v:textbox>
                  </v:shape>
                </v:group>
              </v:group>
            </w:pict>
          </mc:Fallback>
        </mc:AlternateContent>
      </w:r>
      <w:r w:rsidR="001F23C1" w:rsidRPr="00463B28">
        <w:rPr>
          <w:color w:val="4986A0" w:themeColor="text2"/>
          <w:sz w:val="22"/>
          <w:szCs w:val="22"/>
        </w:rPr>
        <w:t xml:space="preserve">Figure 3.1 </w:t>
      </w:r>
      <w:r w:rsidR="001F23C1" w:rsidRPr="00463B28">
        <w:rPr>
          <w:color w:val="4986A0" w:themeColor="text2"/>
          <w:sz w:val="22"/>
          <w:szCs w:val="22"/>
        </w:rPr>
        <w:tab/>
        <w:t>History of new customer contributions in the Victorian water industry</w:t>
      </w:r>
      <w:bookmarkEnd w:id="39"/>
      <w:bookmarkEnd w:id="40"/>
    </w:p>
    <w:p w14:paraId="1FB12E4D" w14:textId="35F60BAD" w:rsidR="00225506" w:rsidRDefault="002E170D" w:rsidP="001C0EA9">
      <w:pPr>
        <w:sectPr w:rsidR="00225506" w:rsidSect="001F0AF8">
          <w:footerReference w:type="default" r:id="rId27"/>
          <w:pgSz w:w="16838" w:h="11906" w:orient="landscape" w:code="9"/>
          <w:pgMar w:top="1134" w:right="1134" w:bottom="1134" w:left="1134" w:header="709" w:footer="692" w:gutter="0"/>
          <w:cols w:space="708"/>
          <w:docGrid w:linePitch="360"/>
        </w:sectPr>
      </w:pPr>
      <w:r>
        <w:rPr>
          <w:noProof/>
        </w:rPr>
        <mc:AlternateContent>
          <mc:Choice Requires="wps">
            <w:drawing>
              <wp:anchor distT="0" distB="0" distL="114300" distR="114300" simplePos="0" relativeHeight="251658240" behindDoc="0" locked="0" layoutInCell="1" allowOverlap="1" wp14:anchorId="156F3CCD" wp14:editId="1E91EE53">
                <wp:simplePos x="0" y="0"/>
                <wp:positionH relativeFrom="margin">
                  <wp:posOffset>4671695</wp:posOffset>
                </wp:positionH>
                <wp:positionV relativeFrom="paragraph">
                  <wp:posOffset>1603375</wp:posOffset>
                </wp:positionV>
                <wp:extent cx="0" cy="429260"/>
                <wp:effectExtent l="0" t="0" r="38100" b="27940"/>
                <wp:wrapNone/>
                <wp:docPr id="916749991" name="Straight Connector 12"/>
                <wp:cNvGraphicFramePr/>
                <a:graphic xmlns:a="http://schemas.openxmlformats.org/drawingml/2006/main">
                  <a:graphicData uri="http://schemas.microsoft.com/office/word/2010/wordprocessingShape">
                    <wps:wsp>
                      <wps:cNvCnPr/>
                      <wps:spPr>
                        <a:xfrm>
                          <a:off x="0" y="0"/>
                          <a:ext cx="0" cy="42926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6D237"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85pt,126.25pt" to="367.85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" strokecolor="#c00000" strokeweight="1pt">
                <v:stroke dashstyle="dash" joinstyle="miter"/>
                <w10:wrap anchorx="margin"/>
              </v:line>
            </w:pict>
          </mc:Fallback>
        </mc:AlternateContent>
      </w:r>
      <w:r>
        <w:rPr>
          <w:noProof/>
        </w:rPr>
        <mc:AlternateContent>
          <mc:Choice Requires="wps">
            <w:drawing>
              <wp:anchor distT="0" distB="0" distL="114300" distR="114300" simplePos="0" relativeHeight="251658241" behindDoc="0" locked="0" layoutInCell="1" allowOverlap="1" wp14:anchorId="183FE0E0" wp14:editId="7F83EC5C">
                <wp:simplePos x="0" y="0"/>
                <wp:positionH relativeFrom="margin">
                  <wp:posOffset>638811</wp:posOffset>
                </wp:positionH>
                <wp:positionV relativeFrom="paragraph">
                  <wp:posOffset>1565275</wp:posOffset>
                </wp:positionV>
                <wp:extent cx="0" cy="457200"/>
                <wp:effectExtent l="0" t="0" r="38100" b="19050"/>
                <wp:wrapNone/>
                <wp:docPr id="298306893" name="Straight Connector 12"/>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4AAE2" id="Straight Connector 1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3pt,123.25pt" to="50.3pt,1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" strokecolor="#c00000" strokeweight="1pt">
                <v:stroke dashstyle="dash" joinstyle="miter"/>
                <w10:wrap anchorx="margin"/>
              </v:line>
            </w:pict>
          </mc:Fallback>
        </mc:AlternateContent>
      </w:r>
      <w:r w:rsidR="00D20B32">
        <w:rPr>
          <w:noProof/>
        </w:rPr>
        <mc:AlternateContent>
          <mc:Choice Requires="wps">
            <w:drawing>
              <wp:anchor distT="0" distB="0" distL="114300" distR="114300" simplePos="0" relativeHeight="251658242" behindDoc="0" locked="0" layoutInCell="1" allowOverlap="1" wp14:anchorId="70BC6BF7" wp14:editId="282A31C3">
                <wp:simplePos x="0" y="0"/>
                <wp:positionH relativeFrom="margin">
                  <wp:posOffset>2601595</wp:posOffset>
                </wp:positionH>
                <wp:positionV relativeFrom="paragraph">
                  <wp:posOffset>2492375</wp:posOffset>
                </wp:positionV>
                <wp:extent cx="0" cy="448310"/>
                <wp:effectExtent l="0" t="0" r="38100" b="27940"/>
                <wp:wrapNone/>
                <wp:docPr id="1916593772" name="Straight Connector 12"/>
                <wp:cNvGraphicFramePr/>
                <a:graphic xmlns:a="http://schemas.openxmlformats.org/drawingml/2006/main">
                  <a:graphicData uri="http://schemas.microsoft.com/office/word/2010/wordprocessingShape">
                    <wps:wsp>
                      <wps:cNvCnPr/>
                      <wps:spPr>
                        <a:xfrm>
                          <a:off x="0" y="0"/>
                          <a:ext cx="0" cy="44831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69A71" id="Straight Connector 12"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85pt,196.25pt" to="204.85pt,2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" strokecolor="#c00000" strokeweight="1pt">
                <v:stroke dashstyle="dash" joinstyle="miter"/>
                <w10:wrap anchorx="margin"/>
              </v:line>
            </w:pict>
          </mc:Fallback>
        </mc:AlternateContent>
      </w:r>
      <w:r w:rsidR="00E71CE6">
        <w:rPr>
          <w:noProof/>
        </w:rPr>
        <mc:AlternateContent>
          <mc:Choice Requires="wps">
            <w:drawing>
              <wp:anchor distT="0" distB="0" distL="114300" distR="114300" simplePos="0" relativeHeight="251658244" behindDoc="0" locked="0" layoutInCell="1" allowOverlap="1" wp14:anchorId="69E7614D" wp14:editId="29445CD1">
                <wp:simplePos x="0" y="0"/>
                <wp:positionH relativeFrom="margin">
                  <wp:posOffset>6680200</wp:posOffset>
                </wp:positionH>
                <wp:positionV relativeFrom="paragraph">
                  <wp:posOffset>2374265</wp:posOffset>
                </wp:positionV>
                <wp:extent cx="0" cy="448310"/>
                <wp:effectExtent l="0" t="0" r="38100" b="27940"/>
                <wp:wrapNone/>
                <wp:docPr id="647163401" name="Straight Connector 12"/>
                <wp:cNvGraphicFramePr/>
                <a:graphic xmlns:a="http://schemas.openxmlformats.org/drawingml/2006/main">
                  <a:graphicData uri="http://schemas.microsoft.com/office/word/2010/wordprocessingShape">
                    <wps:wsp>
                      <wps:cNvCnPr/>
                      <wps:spPr>
                        <a:xfrm>
                          <a:off x="0" y="0"/>
                          <a:ext cx="0" cy="44831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78A62" id="Straight Connector 1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6pt,186.95pt" to="526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" strokecolor="#c00000" strokeweight="1pt">
                <v:stroke dashstyle="dash" joinstyle="miter"/>
                <w10:wrap anchorx="margin"/>
              </v:line>
            </w:pict>
          </mc:Fallback>
        </mc:AlternateContent>
      </w:r>
      <w:r w:rsidR="00AD031C">
        <w:rPr>
          <w:noProof/>
        </w:rPr>
        <mc:AlternateContent>
          <mc:Choice Requires="wps">
            <w:drawing>
              <wp:anchor distT="0" distB="0" distL="114300" distR="114300" simplePos="0" relativeHeight="251658243" behindDoc="0" locked="0" layoutInCell="1" allowOverlap="1" wp14:anchorId="51FB6A48" wp14:editId="17DE835D">
                <wp:simplePos x="0" y="0"/>
                <wp:positionH relativeFrom="margin">
                  <wp:posOffset>8515350</wp:posOffset>
                </wp:positionH>
                <wp:positionV relativeFrom="paragraph">
                  <wp:posOffset>1450922</wp:posOffset>
                </wp:positionV>
                <wp:extent cx="0" cy="448310"/>
                <wp:effectExtent l="0" t="0" r="38100" b="27940"/>
                <wp:wrapNone/>
                <wp:docPr id="198439351" name="Straight Connector 12"/>
                <wp:cNvGraphicFramePr/>
                <a:graphic xmlns:a="http://schemas.openxmlformats.org/drawingml/2006/main">
                  <a:graphicData uri="http://schemas.microsoft.com/office/word/2010/wordprocessingShape">
                    <wps:wsp>
                      <wps:cNvCnPr/>
                      <wps:spPr>
                        <a:xfrm>
                          <a:off x="0" y="0"/>
                          <a:ext cx="0" cy="448310"/>
                        </a:xfrm>
                        <a:prstGeom prst="line">
                          <a:avLst/>
                        </a:prstGeom>
                        <a:ln w="1270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2A2AC" id="Straight Connector 12"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0.5pt,114.25pt" to="670.5pt,1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" strokecolor="#c00000" strokeweight="1pt">
                <v:stroke dashstyle="dash" joinstyle="miter"/>
                <w10:wrap anchorx="margin"/>
              </v:line>
            </w:pict>
          </mc:Fallback>
        </mc:AlternateContent>
      </w:r>
      <w:r w:rsidR="007C381A">
        <w:rPr>
          <w:noProof/>
        </w:rPr>
        <w:drawing>
          <wp:inline distT="0" distB="0" distL="0" distR="0" wp14:anchorId="70F3D356" wp14:editId="47F38F89">
            <wp:extent cx="2520950" cy="1587500"/>
            <wp:effectExtent l="0" t="0" r="0" b="0"/>
            <wp:docPr id="1039584768" name="Picture 4" descr="A blue rectangular object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82943" name="Picture 4" descr="A blue rectangular object with black bord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21621" cy="1587923"/>
                    </a:xfrm>
                    <a:prstGeom prst="rect">
                      <a:avLst/>
                    </a:prstGeom>
                    <a:noFill/>
                  </pic:spPr>
                </pic:pic>
              </a:graphicData>
            </a:graphic>
          </wp:inline>
        </w:drawing>
      </w:r>
    </w:p>
    <w:p w14:paraId="25FFC07F" w14:textId="0FDD4CD1" w:rsidR="00B359FA" w:rsidRPr="0059321E" w:rsidRDefault="00FC599C" w:rsidP="00F336B6">
      <w:pPr>
        <w:pStyle w:val="Heading1numbered"/>
        <w:ind w:left="567" w:hanging="567"/>
        <w:rPr>
          <w:lang w:val="en-GB" w:eastAsia="zh-CN"/>
        </w:rPr>
      </w:pPr>
      <w:bookmarkStart w:id="41" w:name="_Toc174348961"/>
      <w:r w:rsidRPr="0059321E">
        <w:rPr>
          <w:lang w:val="en-GB" w:eastAsia="zh-CN"/>
        </w:rPr>
        <w:lastRenderedPageBreak/>
        <w:t>Good</w:t>
      </w:r>
      <w:r w:rsidR="00D90963" w:rsidRPr="0059321E">
        <w:rPr>
          <w:lang w:val="en-GB" w:eastAsia="zh-CN"/>
        </w:rPr>
        <w:t xml:space="preserve"> implementation of new customer contributions</w:t>
      </w:r>
      <w:r w:rsidR="0076201E" w:rsidRPr="0059321E">
        <w:rPr>
          <w:lang w:val="en-GB" w:eastAsia="zh-CN"/>
        </w:rPr>
        <w:t xml:space="preserve"> within </w:t>
      </w:r>
      <w:r w:rsidRPr="0059321E">
        <w:rPr>
          <w:lang w:val="en-GB" w:eastAsia="zh-CN"/>
        </w:rPr>
        <w:t xml:space="preserve">a </w:t>
      </w:r>
      <w:r w:rsidR="0076201E" w:rsidRPr="0059321E">
        <w:rPr>
          <w:lang w:val="en-GB" w:eastAsia="zh-CN"/>
        </w:rPr>
        <w:t>principles</w:t>
      </w:r>
      <w:r w:rsidR="00F336B6" w:rsidRPr="0059321E">
        <w:rPr>
          <w:lang w:val="en-GB" w:eastAsia="zh-CN"/>
        </w:rPr>
        <w:t>-</w:t>
      </w:r>
      <w:r w:rsidR="0076201E" w:rsidRPr="0059321E">
        <w:rPr>
          <w:lang w:val="en-GB" w:eastAsia="zh-CN"/>
        </w:rPr>
        <w:t>based framework</w:t>
      </w:r>
      <w:bookmarkEnd w:id="41"/>
    </w:p>
    <w:p w14:paraId="3CB5AD52" w14:textId="13C32133" w:rsidR="005E779D" w:rsidRDefault="00F5515B" w:rsidP="00D90963">
      <w:pPr>
        <w:rPr>
          <w:lang w:val="en-GB" w:eastAsia="zh-CN"/>
        </w:rPr>
      </w:pPr>
      <w:r w:rsidRPr="00F5515B">
        <w:rPr>
          <w:lang w:val="en-GB" w:eastAsia="zh-CN"/>
        </w:rPr>
        <w:t xml:space="preserve">Our principles-based new customer contribution </w:t>
      </w:r>
      <w:r w:rsidR="007020F8">
        <w:rPr>
          <w:lang w:val="en-GB" w:eastAsia="zh-CN"/>
        </w:rPr>
        <w:t xml:space="preserve">(NCC) </w:t>
      </w:r>
      <w:r>
        <w:rPr>
          <w:lang w:val="en-GB" w:eastAsia="zh-CN"/>
        </w:rPr>
        <w:t>framework</w:t>
      </w:r>
      <w:r w:rsidRPr="00F5515B">
        <w:rPr>
          <w:lang w:val="en-GB" w:eastAsia="zh-CN"/>
        </w:rPr>
        <w:t xml:space="preserve"> afford</w:t>
      </w:r>
      <w:r w:rsidR="00E753DA">
        <w:rPr>
          <w:lang w:val="en-GB" w:eastAsia="zh-CN"/>
        </w:rPr>
        <w:t>s</w:t>
      </w:r>
      <w:r w:rsidRPr="00F5515B">
        <w:rPr>
          <w:lang w:val="en-GB" w:eastAsia="zh-CN"/>
        </w:rPr>
        <w:t xml:space="preserve"> water businesses significant flexibility within the requirements of the binding statutory instruments. </w:t>
      </w:r>
    </w:p>
    <w:p w14:paraId="79DDF4BF" w14:textId="192E6DEB" w:rsidR="0063572B" w:rsidRDefault="00FE10ED" w:rsidP="00D90963">
      <w:pPr>
        <w:rPr>
          <w:lang w:val="en-GB" w:eastAsia="zh-CN"/>
        </w:rPr>
      </w:pPr>
      <w:r>
        <w:rPr>
          <w:lang w:val="en-GB" w:eastAsia="zh-CN"/>
        </w:rPr>
        <w:t xml:space="preserve">We </w:t>
      </w:r>
      <w:r w:rsidR="00500B64">
        <w:rPr>
          <w:lang w:val="en-GB" w:eastAsia="zh-CN"/>
        </w:rPr>
        <w:t xml:space="preserve">worked closely with water businesses over two years from 2010 to 2012 to </w:t>
      </w:r>
      <w:r w:rsidR="00BA5E35">
        <w:rPr>
          <w:lang w:val="en-GB" w:eastAsia="zh-CN"/>
        </w:rPr>
        <w:t>consider the</w:t>
      </w:r>
      <w:r w:rsidR="00017CE4">
        <w:rPr>
          <w:lang w:val="en-GB" w:eastAsia="zh-CN"/>
        </w:rPr>
        <w:t xml:space="preserve"> implementation</w:t>
      </w:r>
      <w:r w:rsidR="00E04877">
        <w:rPr>
          <w:lang w:val="en-GB" w:eastAsia="zh-CN"/>
        </w:rPr>
        <w:t xml:space="preserve"> of </w:t>
      </w:r>
      <w:r w:rsidR="005F3001">
        <w:rPr>
          <w:lang w:val="en-GB" w:eastAsia="zh-CN"/>
        </w:rPr>
        <w:t>NCCs</w:t>
      </w:r>
      <w:r w:rsidR="00E04877">
        <w:rPr>
          <w:lang w:val="en-GB" w:eastAsia="zh-CN"/>
        </w:rPr>
        <w:t xml:space="preserve"> based on </w:t>
      </w:r>
      <w:r w:rsidR="00FD3B24">
        <w:rPr>
          <w:lang w:val="en-GB" w:eastAsia="zh-CN"/>
        </w:rPr>
        <w:t>a</w:t>
      </w:r>
      <w:r w:rsidR="009E0EF5">
        <w:rPr>
          <w:lang w:val="en-GB" w:eastAsia="zh-CN"/>
        </w:rPr>
        <w:t xml:space="preserve"> </w:t>
      </w:r>
      <w:r w:rsidR="00C54E1A">
        <w:rPr>
          <w:lang w:val="en-GB" w:eastAsia="zh-CN"/>
        </w:rPr>
        <w:t>principles-based</w:t>
      </w:r>
      <w:r w:rsidR="009E0EF5">
        <w:rPr>
          <w:lang w:val="en-GB" w:eastAsia="zh-CN"/>
        </w:rPr>
        <w:t xml:space="preserve"> framework</w:t>
      </w:r>
      <w:r w:rsidR="00017CE4">
        <w:rPr>
          <w:lang w:val="en-GB" w:eastAsia="zh-CN"/>
        </w:rPr>
        <w:t xml:space="preserve"> </w:t>
      </w:r>
      <w:r w:rsidR="002C0048">
        <w:rPr>
          <w:lang w:val="en-GB" w:eastAsia="zh-CN"/>
        </w:rPr>
        <w:t xml:space="preserve">through workshops and </w:t>
      </w:r>
      <w:r w:rsidR="0051105E">
        <w:rPr>
          <w:lang w:val="en-GB" w:eastAsia="zh-CN"/>
        </w:rPr>
        <w:t>technical</w:t>
      </w:r>
      <w:r w:rsidR="002C0048">
        <w:rPr>
          <w:lang w:val="en-GB" w:eastAsia="zh-CN"/>
        </w:rPr>
        <w:t xml:space="preserve"> papers. </w:t>
      </w:r>
      <w:r w:rsidR="00052C6B">
        <w:rPr>
          <w:lang w:val="en-GB" w:eastAsia="zh-CN"/>
        </w:rPr>
        <w:t xml:space="preserve">We found </w:t>
      </w:r>
      <w:r w:rsidR="00900F9F">
        <w:rPr>
          <w:lang w:val="en-GB" w:eastAsia="zh-CN"/>
        </w:rPr>
        <w:t xml:space="preserve">active participation from both developers and water businesses </w:t>
      </w:r>
      <w:r w:rsidR="00D913D1">
        <w:rPr>
          <w:lang w:val="en-GB" w:eastAsia="zh-CN"/>
        </w:rPr>
        <w:t>was critical in the i</w:t>
      </w:r>
      <w:r w:rsidR="00D173C1">
        <w:rPr>
          <w:lang w:val="en-GB" w:eastAsia="zh-CN"/>
        </w:rPr>
        <w:t xml:space="preserve">mplementation of charges that met our current framework objectives. </w:t>
      </w:r>
    </w:p>
    <w:p w14:paraId="3E8C2774" w14:textId="7C084287" w:rsidR="00D90963" w:rsidRDefault="00F5515B" w:rsidP="00D90963">
      <w:pPr>
        <w:rPr>
          <w:lang w:val="en-GB" w:eastAsia="zh-CN"/>
        </w:rPr>
      </w:pPr>
      <w:r w:rsidRPr="00F5515B">
        <w:rPr>
          <w:lang w:val="en-GB" w:eastAsia="zh-CN"/>
        </w:rPr>
        <w:t xml:space="preserve">In this section we outline what we consider </w:t>
      </w:r>
      <w:r w:rsidR="000362CF">
        <w:rPr>
          <w:lang w:val="en-GB" w:eastAsia="zh-CN"/>
        </w:rPr>
        <w:t>good</w:t>
      </w:r>
      <w:r w:rsidRPr="00F5515B">
        <w:rPr>
          <w:lang w:val="en-GB" w:eastAsia="zh-CN"/>
        </w:rPr>
        <w:t xml:space="preserve"> implementation of new customer contributions looks like under our principles-based framework</w:t>
      </w:r>
      <w:r w:rsidR="007020F8">
        <w:rPr>
          <w:lang w:val="en-GB" w:eastAsia="zh-CN"/>
        </w:rPr>
        <w:t xml:space="preserve">, which promote the </w:t>
      </w:r>
      <w:r w:rsidR="000645C0">
        <w:rPr>
          <w:lang w:val="en-GB" w:eastAsia="zh-CN"/>
        </w:rPr>
        <w:t xml:space="preserve">aims </w:t>
      </w:r>
      <w:r w:rsidR="007020F8">
        <w:rPr>
          <w:lang w:val="en-GB" w:eastAsia="zh-CN"/>
        </w:rPr>
        <w:t>set out on page 1</w:t>
      </w:r>
      <w:r w:rsidRPr="00F5515B">
        <w:rPr>
          <w:lang w:val="en-GB" w:eastAsia="zh-CN"/>
        </w:rPr>
        <w:t>.</w:t>
      </w:r>
    </w:p>
    <w:p w14:paraId="6CCA2998" w14:textId="77777777" w:rsidR="00993891" w:rsidRDefault="007564D7" w:rsidP="006F663F">
      <w:pPr>
        <w:pStyle w:val="Heading2numbered"/>
        <w:ind w:hanging="1440"/>
        <w:rPr>
          <w:lang w:val="en-GB" w:eastAsia="zh-CN"/>
        </w:rPr>
      </w:pPr>
      <w:bookmarkStart w:id="42" w:name="_Toc173487072"/>
      <w:bookmarkStart w:id="43" w:name="_Toc174348962"/>
      <w:r w:rsidRPr="006F663F">
        <w:t>Locational cost reflectivity</w:t>
      </w:r>
      <w:bookmarkEnd w:id="42"/>
      <w:bookmarkEnd w:id="43"/>
      <w:r w:rsidRPr="007564D7">
        <w:rPr>
          <w:lang w:val="en-GB" w:eastAsia="zh-CN"/>
        </w:rPr>
        <w:t xml:space="preserve"> </w:t>
      </w:r>
    </w:p>
    <w:p w14:paraId="44E6FCBA" w14:textId="59D161AF" w:rsidR="007564D7" w:rsidRPr="007564D7" w:rsidRDefault="007564D7" w:rsidP="007564D7">
      <w:pPr>
        <w:rPr>
          <w:lang w:val="en-GB" w:eastAsia="zh-CN"/>
        </w:rPr>
      </w:pPr>
      <w:r w:rsidRPr="007564D7">
        <w:rPr>
          <w:lang w:val="en-GB" w:eastAsia="zh-CN"/>
        </w:rPr>
        <w:t xml:space="preserve">This is reflected in standard </w:t>
      </w:r>
      <w:r w:rsidR="007020F8">
        <w:rPr>
          <w:lang w:val="en-GB" w:eastAsia="zh-CN"/>
        </w:rPr>
        <w:t>NCCs</w:t>
      </w:r>
      <w:r w:rsidRPr="007564D7">
        <w:rPr>
          <w:lang w:val="en-GB" w:eastAsia="zh-CN"/>
        </w:rPr>
        <w:t xml:space="preserve"> that account for the geographic scale and nature of the water business’s service area and water systems. Examples include separate </w:t>
      </w:r>
      <w:r w:rsidR="007020F8">
        <w:rPr>
          <w:lang w:val="en-GB" w:eastAsia="zh-CN"/>
        </w:rPr>
        <w:t>NCC</w:t>
      </w:r>
      <w:r w:rsidRPr="007564D7">
        <w:rPr>
          <w:lang w:val="en-GB" w:eastAsia="zh-CN"/>
        </w:rPr>
        <w:t xml:space="preserve">s by water system or for greenfield and infill areas where there is significant greenfield growth. Negotiated </w:t>
      </w:r>
      <w:r w:rsidR="007020F8">
        <w:rPr>
          <w:lang w:val="en-GB" w:eastAsia="zh-CN"/>
        </w:rPr>
        <w:t>NCCs</w:t>
      </w:r>
      <w:r w:rsidRPr="007564D7">
        <w:rPr>
          <w:lang w:val="en-GB" w:eastAsia="zh-CN"/>
        </w:rPr>
        <w:t xml:space="preserve"> should be used where the standard </w:t>
      </w:r>
      <w:r w:rsidR="007020F8">
        <w:rPr>
          <w:lang w:val="en-GB" w:eastAsia="zh-CN"/>
        </w:rPr>
        <w:t>NCCs</w:t>
      </w:r>
      <w:r w:rsidRPr="007564D7">
        <w:rPr>
          <w:lang w:val="en-GB" w:eastAsia="zh-CN"/>
        </w:rPr>
        <w:t xml:space="preserve"> do not reflect a fair and reasonable approximation of the costs and benefits involved in a particular connection application’s location, timing and service scale.</w:t>
      </w:r>
    </w:p>
    <w:p w14:paraId="4867B7DF" w14:textId="00CE2C02" w:rsidR="00A14935" w:rsidRDefault="007564D7" w:rsidP="00A14935">
      <w:pPr>
        <w:pStyle w:val="Heading2"/>
        <w:rPr>
          <w:lang w:val="en-GB" w:eastAsia="zh-CN"/>
        </w:rPr>
      </w:pPr>
      <w:bookmarkStart w:id="44" w:name="_Toc173487073"/>
      <w:bookmarkStart w:id="45" w:name="_Toc174348963"/>
      <w:r w:rsidRPr="007564D7">
        <w:rPr>
          <w:lang w:val="en-GB" w:eastAsia="zh-CN"/>
        </w:rPr>
        <w:t>Incremental cost reflectivity</w:t>
      </w:r>
      <w:bookmarkEnd w:id="44"/>
      <w:bookmarkEnd w:id="45"/>
      <w:r w:rsidRPr="007564D7">
        <w:rPr>
          <w:lang w:val="en-GB" w:eastAsia="zh-CN"/>
        </w:rPr>
        <w:t xml:space="preserve">  </w:t>
      </w:r>
    </w:p>
    <w:p w14:paraId="6C7A3F1D" w14:textId="7360480E" w:rsidR="007564D7" w:rsidRPr="007564D7" w:rsidRDefault="00870914" w:rsidP="007564D7">
      <w:pPr>
        <w:rPr>
          <w:lang w:val="en-GB" w:eastAsia="zh-CN"/>
        </w:rPr>
      </w:pPr>
      <w:r>
        <w:rPr>
          <w:lang w:val="en-GB" w:eastAsia="zh-CN"/>
        </w:rPr>
        <w:t>Incremental cost reflectivity means t</w:t>
      </w:r>
      <w:r w:rsidR="007564D7" w:rsidRPr="007564D7">
        <w:rPr>
          <w:lang w:val="en-GB" w:eastAsia="zh-CN"/>
        </w:rPr>
        <w:t xml:space="preserve">hat the costs attributed to </w:t>
      </w:r>
      <w:r w:rsidR="009A1861">
        <w:rPr>
          <w:lang w:val="en-GB" w:eastAsia="zh-CN"/>
        </w:rPr>
        <w:t>NCCs</w:t>
      </w:r>
      <w:r w:rsidR="007564D7" w:rsidRPr="007564D7">
        <w:rPr>
          <w:lang w:val="en-GB" w:eastAsia="zh-CN"/>
        </w:rPr>
        <w:t xml:space="preserve"> should:</w:t>
      </w:r>
    </w:p>
    <w:p w14:paraId="28D429AE" w14:textId="234E4098" w:rsidR="007564D7" w:rsidRPr="007564D7" w:rsidRDefault="007564D7" w:rsidP="00423D7C">
      <w:pPr>
        <w:pStyle w:val="ListBullet"/>
        <w:rPr>
          <w:lang w:val="en-GB" w:eastAsia="zh-CN"/>
        </w:rPr>
      </w:pPr>
      <w:r w:rsidRPr="007564D7">
        <w:rPr>
          <w:lang w:val="en-GB" w:eastAsia="zh-CN"/>
        </w:rPr>
        <w:t>relate to separate (not bundled) services with separate contributions payable for water, sewerage and recycled water</w:t>
      </w:r>
    </w:p>
    <w:p w14:paraId="6E4FD2A6" w14:textId="5565636E" w:rsidR="007564D7" w:rsidRPr="007564D7" w:rsidRDefault="007564D7" w:rsidP="00423D7C">
      <w:pPr>
        <w:pStyle w:val="ListBullet"/>
        <w:rPr>
          <w:lang w:val="en-GB" w:eastAsia="zh-CN"/>
        </w:rPr>
      </w:pPr>
      <w:r w:rsidRPr="007564D7">
        <w:rPr>
          <w:lang w:val="en-GB" w:eastAsia="zh-CN"/>
        </w:rPr>
        <w:t>be applied consistently over time and across developments, with any variations justified</w:t>
      </w:r>
    </w:p>
    <w:p w14:paraId="07510D5D" w14:textId="659BF653" w:rsidR="007564D7" w:rsidRPr="007564D7" w:rsidRDefault="007564D7" w:rsidP="00423D7C">
      <w:pPr>
        <w:pStyle w:val="ListBullet"/>
        <w:rPr>
          <w:lang w:val="en-GB" w:eastAsia="zh-CN"/>
        </w:rPr>
      </w:pPr>
      <w:r w:rsidRPr="007564D7">
        <w:rPr>
          <w:lang w:val="en-GB" w:eastAsia="zh-CN"/>
        </w:rPr>
        <w:t>if shared costs are attributed, be based on reasonable causal cost allocations, following documented and replicable cost allocation processes</w:t>
      </w:r>
    </w:p>
    <w:p w14:paraId="4B7A615B" w14:textId="4A7D77CF" w:rsidR="007564D7" w:rsidRPr="007564D7" w:rsidRDefault="007564D7" w:rsidP="00423D7C">
      <w:pPr>
        <w:pStyle w:val="ListBullet"/>
        <w:rPr>
          <w:lang w:val="en-GB" w:eastAsia="zh-CN"/>
        </w:rPr>
      </w:pPr>
      <w:r w:rsidRPr="007564D7">
        <w:rPr>
          <w:lang w:val="en-GB" w:eastAsia="zh-CN"/>
        </w:rPr>
        <w:t>only include reasonable allocations of past investments made to accommodate expected connections growth, if any, and recognise these at their present-day residual cost</w:t>
      </w:r>
    </w:p>
    <w:p w14:paraId="30F5BF38" w14:textId="37CC27D4" w:rsidR="007564D7" w:rsidRPr="007564D7" w:rsidRDefault="007564D7" w:rsidP="00423D7C">
      <w:pPr>
        <w:pStyle w:val="ListBullet"/>
        <w:rPr>
          <w:lang w:val="en-GB" w:eastAsia="zh-CN"/>
        </w:rPr>
      </w:pPr>
      <w:r w:rsidRPr="007564D7">
        <w:rPr>
          <w:lang w:val="en-GB" w:eastAsia="zh-CN"/>
        </w:rPr>
        <w:t>account for any other connection fees and charges levied separately to the contribution and explain differences in the activities and costs that each charge funds.</w:t>
      </w:r>
    </w:p>
    <w:p w14:paraId="31007BBA" w14:textId="10FB2381" w:rsidR="004C5593" w:rsidRDefault="007564D7" w:rsidP="004C5593">
      <w:pPr>
        <w:pStyle w:val="Heading2"/>
        <w:rPr>
          <w:lang w:val="en-GB" w:eastAsia="zh-CN"/>
        </w:rPr>
      </w:pPr>
      <w:bookmarkStart w:id="46" w:name="_Toc173487074"/>
      <w:bookmarkStart w:id="47" w:name="_Toc174348964"/>
      <w:r w:rsidRPr="007564D7">
        <w:rPr>
          <w:lang w:val="en-GB" w:eastAsia="zh-CN"/>
        </w:rPr>
        <w:lastRenderedPageBreak/>
        <w:t>Transparency</w:t>
      </w:r>
      <w:bookmarkEnd w:id="46"/>
      <w:bookmarkEnd w:id="47"/>
      <w:r w:rsidRPr="007564D7">
        <w:rPr>
          <w:lang w:val="en-GB" w:eastAsia="zh-CN"/>
        </w:rPr>
        <w:t xml:space="preserve"> </w:t>
      </w:r>
    </w:p>
    <w:p w14:paraId="5EB5950B" w14:textId="37C9A037" w:rsidR="007564D7" w:rsidRPr="007564D7" w:rsidRDefault="007564D7" w:rsidP="007564D7">
      <w:pPr>
        <w:rPr>
          <w:lang w:val="en-GB" w:eastAsia="zh-CN"/>
        </w:rPr>
      </w:pPr>
      <w:r w:rsidRPr="007564D7">
        <w:rPr>
          <w:lang w:val="en-GB" w:eastAsia="zh-CN"/>
        </w:rPr>
        <w:t>Both the Water Act requirements and our guidance entitle customers to transparency about costs attributed to any contributions water businesses charge them. We expect:</w:t>
      </w:r>
    </w:p>
    <w:p w14:paraId="2EF1CB7D" w14:textId="3BD3A2E2" w:rsidR="007564D7" w:rsidRPr="00B06FD6" w:rsidRDefault="007564D7" w:rsidP="00B06FD6">
      <w:pPr>
        <w:pStyle w:val="ListBullet"/>
        <w:rPr>
          <w:lang w:val="en-GB" w:eastAsia="zh-CN"/>
        </w:rPr>
      </w:pPr>
      <w:r w:rsidRPr="007564D7">
        <w:rPr>
          <w:lang w:val="en-GB" w:eastAsia="zh-CN"/>
        </w:rPr>
        <w:t>costs attributed to new customer contributions and the projections of connections growth underpinning them are justified and disclosed to us and customers, and are consistent with assumptions in the regulatory building block revenue and regulatory asset base pricing models</w:t>
      </w:r>
    </w:p>
    <w:p w14:paraId="7A116529" w14:textId="469E4F85" w:rsidR="007564D7" w:rsidRPr="00B06FD6" w:rsidRDefault="007564D7" w:rsidP="00B06FD6">
      <w:pPr>
        <w:pStyle w:val="ListBullet"/>
        <w:rPr>
          <w:lang w:val="en-GB" w:eastAsia="zh-CN"/>
        </w:rPr>
      </w:pPr>
      <w:r w:rsidRPr="007564D7">
        <w:rPr>
          <w:lang w:val="en-GB" w:eastAsia="zh-CN"/>
        </w:rPr>
        <w:t>water businesses’ development sequencing is clearly set out, committed to, up to date, and readily accessible</w:t>
      </w:r>
    </w:p>
    <w:p w14:paraId="0862C491" w14:textId="0689E1EB" w:rsidR="007564D7" w:rsidRPr="007564D7" w:rsidRDefault="001C713A" w:rsidP="00B06FD6">
      <w:pPr>
        <w:pStyle w:val="ListBullet"/>
        <w:rPr>
          <w:lang w:val="en-GB" w:eastAsia="zh-CN"/>
        </w:rPr>
      </w:pPr>
      <w:r>
        <w:rPr>
          <w:lang w:val="en-GB" w:eastAsia="zh-CN"/>
        </w:rPr>
        <w:t>t</w:t>
      </w:r>
      <w:r w:rsidR="007564D7" w:rsidRPr="007564D7">
        <w:rPr>
          <w:lang w:val="en-GB" w:eastAsia="zh-CN"/>
        </w:rPr>
        <w:t>hat the assets that connection applicants and water businesses are responsible for are clearly explained and readily accessible, including explaining the process and obligations for asset gifting</w:t>
      </w:r>
    </w:p>
    <w:p w14:paraId="50CC30F5" w14:textId="52A56244" w:rsidR="007564D7" w:rsidRPr="00B06FD6" w:rsidRDefault="007564D7" w:rsidP="00B06FD6">
      <w:pPr>
        <w:pStyle w:val="ListBullet"/>
        <w:rPr>
          <w:lang w:val="en-GB" w:eastAsia="zh-CN"/>
        </w:rPr>
      </w:pPr>
      <w:r w:rsidRPr="007564D7">
        <w:rPr>
          <w:lang w:val="en-GB" w:eastAsia="zh-CN"/>
        </w:rPr>
        <w:t>connection application processes, information requirements, and fees are easily assessable, clearly explained and predictable</w:t>
      </w:r>
    </w:p>
    <w:p w14:paraId="447F0C88" w14:textId="68AC46C8" w:rsidR="007564D7" w:rsidRPr="007564D7" w:rsidRDefault="007564D7" w:rsidP="00B06FD6">
      <w:pPr>
        <w:pStyle w:val="ListBullet"/>
        <w:rPr>
          <w:lang w:val="en-GB" w:eastAsia="zh-CN"/>
        </w:rPr>
      </w:pPr>
      <w:r w:rsidRPr="007564D7">
        <w:rPr>
          <w:lang w:val="en-GB" w:eastAsia="zh-CN"/>
        </w:rPr>
        <w:t>water businesses must respond to enquiries by a connection applicant within a set timeframe and with their information requirements</w:t>
      </w:r>
    </w:p>
    <w:p w14:paraId="59109BF7" w14:textId="786C2BB1" w:rsidR="007564D7" w:rsidRPr="007564D7" w:rsidRDefault="007564D7" w:rsidP="00B06FD6">
      <w:pPr>
        <w:pStyle w:val="ListBullet"/>
        <w:rPr>
          <w:lang w:val="en-GB" w:eastAsia="zh-CN"/>
        </w:rPr>
      </w:pPr>
      <w:r w:rsidRPr="007564D7">
        <w:rPr>
          <w:lang w:val="en-GB" w:eastAsia="zh-CN"/>
        </w:rPr>
        <w:t>connection applicants’ rights, including to dispute resolution, are clearly explained</w:t>
      </w:r>
    </w:p>
    <w:p w14:paraId="6D3C3569" w14:textId="57384C02" w:rsidR="007564D7" w:rsidRPr="007564D7" w:rsidRDefault="007564D7" w:rsidP="00B06FD6">
      <w:pPr>
        <w:pStyle w:val="ListBullet"/>
        <w:rPr>
          <w:lang w:val="en-GB" w:eastAsia="zh-CN"/>
        </w:rPr>
      </w:pPr>
      <w:r w:rsidRPr="007564D7">
        <w:rPr>
          <w:lang w:val="en-GB" w:eastAsia="zh-CN"/>
        </w:rPr>
        <w:t>water businesses</w:t>
      </w:r>
      <w:r w:rsidR="006470A5">
        <w:rPr>
          <w:lang w:val="en-GB" w:eastAsia="zh-CN"/>
        </w:rPr>
        <w:t>’</w:t>
      </w:r>
      <w:r w:rsidRPr="007564D7">
        <w:rPr>
          <w:lang w:val="en-GB" w:eastAsia="zh-CN"/>
        </w:rPr>
        <w:t xml:space="preserve"> policies and thresholds for when to apply negotiated or standard new customer contributions are clearly set out, and customers are made aware of their right to negotiate irrespective of whether they may be eligible for a standard new customer contribution.</w:t>
      </w:r>
    </w:p>
    <w:p w14:paraId="12394D5D" w14:textId="7CB9C15B" w:rsidR="001C713A" w:rsidRDefault="007564D7" w:rsidP="001C713A">
      <w:pPr>
        <w:pStyle w:val="Heading2"/>
        <w:rPr>
          <w:lang w:val="en-GB" w:eastAsia="zh-CN"/>
        </w:rPr>
      </w:pPr>
      <w:bookmarkStart w:id="48" w:name="_Toc173487075"/>
      <w:bookmarkStart w:id="49" w:name="_Toc174348965"/>
      <w:r w:rsidRPr="007564D7">
        <w:rPr>
          <w:lang w:val="en-GB" w:eastAsia="zh-CN"/>
        </w:rPr>
        <w:t>Flexibility</w:t>
      </w:r>
      <w:bookmarkEnd w:id="48"/>
      <w:bookmarkEnd w:id="49"/>
      <w:r w:rsidRPr="007564D7">
        <w:rPr>
          <w:lang w:val="en-GB" w:eastAsia="zh-CN"/>
        </w:rPr>
        <w:t xml:space="preserve"> </w:t>
      </w:r>
    </w:p>
    <w:p w14:paraId="39D9DF73" w14:textId="29C22D00" w:rsidR="007564D7" w:rsidRPr="007564D7" w:rsidRDefault="00E26DBE" w:rsidP="007564D7">
      <w:pPr>
        <w:rPr>
          <w:lang w:val="en-GB" w:eastAsia="zh-CN"/>
        </w:rPr>
      </w:pPr>
      <w:r>
        <w:rPr>
          <w:lang w:val="en-GB" w:eastAsia="zh-CN"/>
        </w:rPr>
        <w:t>T</w:t>
      </w:r>
      <w:r w:rsidR="007564D7" w:rsidRPr="007564D7">
        <w:rPr>
          <w:lang w:val="en-GB" w:eastAsia="zh-CN"/>
        </w:rPr>
        <w:t xml:space="preserve">he use of standard and negotiated </w:t>
      </w:r>
      <w:r w:rsidR="00623DA3">
        <w:rPr>
          <w:lang w:val="en-GB" w:eastAsia="zh-CN"/>
        </w:rPr>
        <w:t xml:space="preserve">NCCs </w:t>
      </w:r>
      <w:r>
        <w:rPr>
          <w:lang w:val="en-GB" w:eastAsia="zh-CN"/>
        </w:rPr>
        <w:t>should be</w:t>
      </w:r>
      <w:r w:rsidR="007564D7" w:rsidRPr="007564D7">
        <w:rPr>
          <w:lang w:val="en-GB" w:eastAsia="zh-CN"/>
        </w:rPr>
        <w:t xml:space="preserve"> applied flexibly over time to </w:t>
      </w:r>
      <w:r>
        <w:rPr>
          <w:lang w:val="en-GB" w:eastAsia="zh-CN"/>
        </w:rPr>
        <w:t>help</w:t>
      </w:r>
      <w:r w:rsidR="007564D7" w:rsidRPr="007564D7">
        <w:rPr>
          <w:lang w:val="en-GB" w:eastAsia="zh-CN"/>
        </w:rPr>
        <w:t xml:space="preserve"> ensure that the costs and benefits of growth are fairly shared between connection applicants and existing customers, including when dealing with unforeseen demand or with developments that have materially different costs to other connections.</w:t>
      </w:r>
    </w:p>
    <w:p w14:paraId="00375779" w14:textId="5A299F61" w:rsidR="00644981" w:rsidRDefault="007564D7" w:rsidP="00644981">
      <w:pPr>
        <w:pStyle w:val="Heading2"/>
        <w:rPr>
          <w:lang w:val="en-GB" w:eastAsia="zh-CN"/>
        </w:rPr>
      </w:pPr>
      <w:bookmarkStart w:id="50" w:name="_Toc173487076"/>
      <w:bookmarkStart w:id="51" w:name="_Toc174348966"/>
      <w:r w:rsidRPr="007564D7">
        <w:rPr>
          <w:lang w:val="en-GB" w:eastAsia="zh-CN"/>
        </w:rPr>
        <w:t>Engagement</w:t>
      </w:r>
      <w:bookmarkEnd w:id="50"/>
      <w:bookmarkEnd w:id="51"/>
      <w:r w:rsidRPr="007564D7">
        <w:rPr>
          <w:lang w:val="en-GB" w:eastAsia="zh-CN"/>
        </w:rPr>
        <w:t xml:space="preserve"> </w:t>
      </w:r>
    </w:p>
    <w:p w14:paraId="765E249A" w14:textId="1B2BB61F" w:rsidR="007564D7" w:rsidRPr="007564D7" w:rsidRDefault="00307269" w:rsidP="007564D7">
      <w:pPr>
        <w:rPr>
          <w:lang w:val="en-GB" w:eastAsia="zh-CN"/>
        </w:rPr>
      </w:pPr>
      <w:r>
        <w:rPr>
          <w:lang w:val="en-GB" w:eastAsia="zh-CN"/>
        </w:rPr>
        <w:t>Engagement by</w:t>
      </w:r>
      <w:r w:rsidR="007564D7" w:rsidRPr="007564D7">
        <w:rPr>
          <w:lang w:val="en-GB" w:eastAsia="zh-CN"/>
        </w:rPr>
        <w:t xml:space="preserve"> water businesses</w:t>
      </w:r>
      <w:r>
        <w:rPr>
          <w:lang w:val="en-GB" w:eastAsia="zh-CN"/>
        </w:rPr>
        <w:t xml:space="preserve"> on NCCs should</w:t>
      </w:r>
      <w:r w:rsidR="007564D7" w:rsidRPr="007564D7">
        <w:rPr>
          <w:lang w:val="en-GB" w:eastAsia="zh-CN"/>
        </w:rPr>
        <w:t xml:space="preserve"> meet the engagement expectations of our guidance and of the water businesses’ customers and development stakeholders. This includes fit for purpose engagement with both connection applicants and customers where information is provided to enable meaningful feedback, for example:</w:t>
      </w:r>
    </w:p>
    <w:p w14:paraId="14AF2262" w14:textId="3247EE99" w:rsidR="007564D7" w:rsidRPr="007564D7" w:rsidRDefault="007564D7" w:rsidP="00644981">
      <w:pPr>
        <w:pStyle w:val="ListBullet"/>
        <w:rPr>
          <w:lang w:val="en-GB" w:eastAsia="zh-CN"/>
        </w:rPr>
      </w:pPr>
      <w:r w:rsidRPr="007564D7">
        <w:rPr>
          <w:lang w:val="en-GB" w:eastAsia="zh-CN"/>
        </w:rPr>
        <w:t>cost information justifying the reasonableness of proposed standard new customer contributions</w:t>
      </w:r>
    </w:p>
    <w:p w14:paraId="1C14B497" w14:textId="640BC1B8" w:rsidR="00BB5827" w:rsidRDefault="00644981" w:rsidP="00CB3E20">
      <w:pPr>
        <w:pStyle w:val="ListBullet"/>
        <w:rPr>
          <w:lang w:val="en-GB" w:eastAsia="zh-CN"/>
        </w:rPr>
      </w:pPr>
      <w:r>
        <w:rPr>
          <w:lang w:val="en-GB" w:eastAsia="zh-CN"/>
        </w:rPr>
        <w:lastRenderedPageBreak/>
        <w:t>t</w:t>
      </w:r>
      <w:r w:rsidR="007564D7" w:rsidRPr="007564D7">
        <w:rPr>
          <w:lang w:val="en-GB" w:eastAsia="zh-CN"/>
        </w:rPr>
        <w:t>ransition periods justification and subsidy consequences in the case of proposed new customer contribution caps and transitions to improved cost reflectivity.</w:t>
      </w:r>
    </w:p>
    <w:p w14:paraId="1AFE4854" w14:textId="50BFAECD" w:rsidR="009A7FAF" w:rsidRPr="00BB5827" w:rsidRDefault="009A7FAF" w:rsidP="00BB5827">
      <w:pPr>
        <w:rPr>
          <w:lang w:val="en-GB" w:eastAsia="zh-CN"/>
        </w:rPr>
        <w:sectPr w:rsidR="009A7FAF" w:rsidRPr="00BB5827" w:rsidSect="005B0C7E">
          <w:footerReference w:type="default" r:id="rId29"/>
          <w:pgSz w:w="11906" w:h="16838" w:code="9"/>
          <w:pgMar w:top="1134" w:right="1134" w:bottom="1134" w:left="1134" w:header="709" w:footer="692" w:gutter="0"/>
          <w:cols w:space="708"/>
          <w:docGrid w:linePitch="360"/>
        </w:sectPr>
      </w:pPr>
      <w:r>
        <w:rPr>
          <w:lang w:val="en-GB" w:eastAsia="zh-CN"/>
        </w:rPr>
        <w:t xml:space="preserve">The next </w:t>
      </w:r>
      <w:r w:rsidR="00CC31E2">
        <w:rPr>
          <w:lang w:val="en-GB" w:eastAsia="zh-CN"/>
        </w:rPr>
        <w:t>chapter</w:t>
      </w:r>
      <w:r>
        <w:rPr>
          <w:lang w:val="en-GB" w:eastAsia="zh-CN"/>
        </w:rPr>
        <w:t xml:space="preserve"> outlines what we found in </w:t>
      </w:r>
      <w:r w:rsidR="00215477">
        <w:rPr>
          <w:lang w:val="en-GB" w:eastAsia="zh-CN"/>
        </w:rPr>
        <w:t>most</w:t>
      </w:r>
      <w:r>
        <w:rPr>
          <w:lang w:val="en-GB" w:eastAsia="zh-CN"/>
        </w:rPr>
        <w:t xml:space="preserve"> proposals by water businesses on the calculation and implementation of charges. </w:t>
      </w:r>
      <w:r w:rsidR="00875A08">
        <w:rPr>
          <w:lang w:val="en-GB" w:eastAsia="zh-CN"/>
        </w:rPr>
        <w:t>We</w:t>
      </w:r>
      <w:r>
        <w:rPr>
          <w:lang w:val="en-GB" w:eastAsia="zh-CN"/>
        </w:rPr>
        <w:t xml:space="preserve"> highlight where </w:t>
      </w:r>
      <w:r w:rsidR="00762DA0">
        <w:rPr>
          <w:lang w:val="en-GB" w:eastAsia="zh-CN"/>
        </w:rPr>
        <w:t xml:space="preserve">we found </w:t>
      </w:r>
      <w:r w:rsidR="00223036">
        <w:rPr>
          <w:lang w:val="en-GB" w:eastAsia="zh-CN"/>
        </w:rPr>
        <w:t xml:space="preserve">departures from </w:t>
      </w:r>
      <w:r w:rsidR="00621010">
        <w:rPr>
          <w:lang w:val="en-GB" w:eastAsia="zh-CN"/>
        </w:rPr>
        <w:t xml:space="preserve">good practise </w:t>
      </w:r>
      <w:r w:rsidR="00223036">
        <w:rPr>
          <w:lang w:val="en-GB" w:eastAsia="zh-CN"/>
        </w:rPr>
        <w:t xml:space="preserve">regarding </w:t>
      </w:r>
      <w:r w:rsidR="00541237">
        <w:rPr>
          <w:lang w:val="en-GB" w:eastAsia="zh-CN"/>
        </w:rPr>
        <w:t xml:space="preserve">the </w:t>
      </w:r>
      <w:r w:rsidR="00621010">
        <w:rPr>
          <w:lang w:val="en-GB" w:eastAsia="zh-CN"/>
        </w:rPr>
        <w:t xml:space="preserve">implementation of </w:t>
      </w:r>
      <w:r w:rsidR="00223036">
        <w:rPr>
          <w:lang w:val="en-GB" w:eastAsia="zh-CN"/>
        </w:rPr>
        <w:t>NCCs</w:t>
      </w:r>
      <w:r w:rsidR="00621010">
        <w:rPr>
          <w:lang w:val="en-GB" w:eastAsia="zh-CN"/>
        </w:rPr>
        <w:t xml:space="preserve">. </w:t>
      </w:r>
    </w:p>
    <w:p w14:paraId="59673C88" w14:textId="3BD77D4E" w:rsidR="00C72B79" w:rsidRPr="0076201E" w:rsidRDefault="00C72B79" w:rsidP="0076201E">
      <w:pPr>
        <w:pStyle w:val="Heading1numbered"/>
        <w:ind w:left="0" w:firstLine="0"/>
      </w:pPr>
      <w:bookmarkStart w:id="52" w:name="_Toc174348967"/>
      <w:r w:rsidRPr="0076201E">
        <w:lastRenderedPageBreak/>
        <w:t xml:space="preserve">Key </w:t>
      </w:r>
      <w:r w:rsidR="006F663F">
        <w:t>implementation issues to address</w:t>
      </w:r>
      <w:bookmarkEnd w:id="52"/>
    </w:p>
    <w:p w14:paraId="4C2D83C0" w14:textId="2672B07C" w:rsidR="00BD3534" w:rsidRDefault="00891785" w:rsidP="00436221">
      <w:r>
        <w:t xml:space="preserve">At our </w:t>
      </w:r>
      <w:r w:rsidR="00E054F2">
        <w:t>2023 water price review</w:t>
      </w:r>
      <w:r>
        <w:t>, we</w:t>
      </w:r>
      <w:r w:rsidR="00E054F2">
        <w:t xml:space="preserve"> identified varied practice across </w:t>
      </w:r>
      <w:r w:rsidR="00000C0B">
        <w:t xml:space="preserve">water </w:t>
      </w:r>
      <w:r w:rsidR="00E054F2">
        <w:t xml:space="preserve">businesses </w:t>
      </w:r>
      <w:r w:rsidR="00000C0B">
        <w:t xml:space="preserve">regarding </w:t>
      </w:r>
      <w:r w:rsidR="00E054F2">
        <w:t xml:space="preserve">their </w:t>
      </w:r>
      <w:r w:rsidR="00FD5690">
        <w:t>price submission proposals for</w:t>
      </w:r>
      <w:r w:rsidR="00E054F2">
        <w:t xml:space="preserve"> </w:t>
      </w:r>
      <w:r w:rsidR="00501087">
        <w:t>new</w:t>
      </w:r>
      <w:r w:rsidR="000B579D">
        <w:t xml:space="preserve"> customer contributions</w:t>
      </w:r>
      <w:r w:rsidR="006B0B18">
        <w:t xml:space="preserve"> (NCCs)</w:t>
      </w:r>
      <w:r w:rsidR="00D30148">
        <w:t xml:space="preserve"> that </w:t>
      </w:r>
      <w:r w:rsidR="006B0B18">
        <w:t xml:space="preserve">we consider </w:t>
      </w:r>
      <w:r w:rsidR="00D30148">
        <w:t xml:space="preserve">did not </w:t>
      </w:r>
      <w:r w:rsidR="00C04EF4">
        <w:t>reflect our guidance</w:t>
      </w:r>
      <w:r w:rsidR="00E60FC4">
        <w:t xml:space="preserve"> or </w:t>
      </w:r>
      <w:r w:rsidR="006B0B18">
        <w:t>the</w:t>
      </w:r>
      <w:r w:rsidR="009726B6">
        <w:t xml:space="preserve"> objectives</w:t>
      </w:r>
      <w:r w:rsidR="006B0B18">
        <w:t xml:space="preserve"> we established for</w:t>
      </w:r>
      <w:r w:rsidR="00FD5690">
        <w:t xml:space="preserve"> NCCs</w:t>
      </w:r>
      <w:r w:rsidR="00E66D0F">
        <w:t>.</w:t>
      </w:r>
      <w:r w:rsidR="003232E3">
        <w:t xml:space="preserve"> </w:t>
      </w:r>
      <w:r w:rsidR="00E054F2">
        <w:t xml:space="preserve"> </w:t>
      </w:r>
    </w:p>
    <w:p w14:paraId="39BEF0B2" w14:textId="40CC7DAF" w:rsidR="00436221" w:rsidRPr="00AB1C0C" w:rsidRDefault="00BD3534" w:rsidP="00436221">
      <w:r>
        <w:t xml:space="preserve">Some water businesses provided good justification for their </w:t>
      </w:r>
      <w:r w:rsidR="00A320F4">
        <w:t>N</w:t>
      </w:r>
      <w:r w:rsidR="005D6E0F">
        <w:t>CCs</w:t>
      </w:r>
      <w:r>
        <w:t xml:space="preserve"> proposals. However, many put forward proposals that in our view </w:t>
      </w:r>
      <w:r w:rsidR="00BC62B8">
        <w:t xml:space="preserve">could be </w:t>
      </w:r>
      <w:r w:rsidR="00C966A7">
        <w:t xml:space="preserve">improved to better support the </w:t>
      </w:r>
      <w:r w:rsidR="00287E1F">
        <w:t>objectives of</w:t>
      </w:r>
      <w:r w:rsidR="00C966A7">
        <w:t xml:space="preserve"> the </w:t>
      </w:r>
      <w:r>
        <w:t xml:space="preserve">framework </w:t>
      </w:r>
      <w:r w:rsidR="00C966A7">
        <w:t>we administer</w:t>
      </w:r>
      <w:r>
        <w:t xml:space="preserve">. </w:t>
      </w:r>
      <w:r w:rsidR="005A7D52">
        <w:t xml:space="preserve">A summary of </w:t>
      </w:r>
      <w:r w:rsidR="000029ED">
        <w:t xml:space="preserve">the </w:t>
      </w:r>
      <w:r w:rsidR="005A7D52">
        <w:t>issues is provided below</w:t>
      </w:r>
      <w:r w:rsidR="00E054F2">
        <w:t>.</w:t>
      </w:r>
    </w:p>
    <w:p w14:paraId="3D512CD4" w14:textId="53B1DA4B" w:rsidR="00C72B79" w:rsidRDefault="009B43EE" w:rsidP="0095150F">
      <w:pPr>
        <w:pStyle w:val="Heading2numbered"/>
        <w:ind w:hanging="1440"/>
        <w:rPr>
          <w:lang w:val="en-GB" w:eastAsia="zh-CN"/>
        </w:rPr>
      </w:pPr>
      <w:bookmarkStart w:id="53" w:name="_Toc168330185"/>
      <w:bookmarkStart w:id="54" w:name="_Toc174348968"/>
      <w:r>
        <w:rPr>
          <w:lang w:val="en-GB" w:eastAsia="zh-CN"/>
        </w:rPr>
        <w:t>U</w:t>
      </w:r>
      <w:r w:rsidR="00A51F02" w:rsidRPr="00A51F02">
        <w:rPr>
          <w:lang w:val="en-GB" w:eastAsia="zh-CN"/>
        </w:rPr>
        <w:t>njustified cost attribution</w:t>
      </w:r>
      <w:bookmarkEnd w:id="53"/>
      <w:bookmarkEnd w:id="54"/>
    </w:p>
    <w:p w14:paraId="7E42D21C" w14:textId="26FF8044" w:rsidR="00A51F02" w:rsidRDefault="00D74C84" w:rsidP="00A51F02">
      <w:pPr>
        <w:pStyle w:val="Pull-out"/>
      </w:pPr>
      <w:r>
        <w:t>Our</w:t>
      </w:r>
      <w:r w:rsidR="00A51F02">
        <w:t xml:space="preserve"> 2023 water price review guidance require</w:t>
      </w:r>
      <w:r>
        <w:t>d</w:t>
      </w:r>
      <w:r w:rsidR="00A51F02">
        <w:t xml:space="preserve"> water businesses </w:t>
      </w:r>
      <w:r w:rsidR="00F23DFA">
        <w:t xml:space="preserve">to </w:t>
      </w:r>
      <w:r w:rsidR="00A51F02">
        <w:t>includ</w:t>
      </w:r>
      <w:r w:rsidR="008869D0">
        <w:t>e</w:t>
      </w:r>
      <w:r w:rsidR="00A51F02">
        <w:t xml:space="preserve"> accompanying notes describing the data sources and input assumptions used, for us to assess </w:t>
      </w:r>
      <w:r w:rsidR="00C708CA">
        <w:t xml:space="preserve">whether </w:t>
      </w:r>
      <w:r w:rsidR="00A51F02">
        <w:t xml:space="preserve">proposed </w:t>
      </w:r>
      <w:r w:rsidR="00A320F4">
        <w:t>N</w:t>
      </w:r>
      <w:r w:rsidR="00A005A4">
        <w:t>CCs</w:t>
      </w:r>
      <w:r w:rsidR="00A51F02">
        <w:t xml:space="preserve"> ha</w:t>
      </w:r>
      <w:r w:rsidR="00C708CA">
        <w:t>d</w:t>
      </w:r>
      <w:r w:rsidR="00A51F02">
        <w:t xml:space="preserve"> been established in accordance with the </w:t>
      </w:r>
      <w:r w:rsidR="005331AA">
        <w:t>new customer contributions</w:t>
      </w:r>
      <w:r w:rsidR="00A51F02">
        <w:t xml:space="preserve"> pricing principles.</w:t>
      </w:r>
      <w:r w:rsidR="00A51F02">
        <w:rPr>
          <w:rStyle w:val="FootnoteReference"/>
        </w:rPr>
        <w:footnoteReference w:id="40"/>
      </w:r>
    </w:p>
    <w:p w14:paraId="0D1B9579" w14:textId="707E9089" w:rsidR="00415126" w:rsidRDefault="00CE2F67" w:rsidP="00C46815">
      <w:r>
        <w:t>A</w:t>
      </w:r>
      <w:r w:rsidR="00ED4192">
        <w:t>t the 2023 water price review</w:t>
      </w:r>
      <w:r>
        <w:t xml:space="preserve">, </w:t>
      </w:r>
      <w:r w:rsidR="00B023C8">
        <w:t xml:space="preserve">initially </w:t>
      </w:r>
      <w:r w:rsidR="00415126">
        <w:t xml:space="preserve">some </w:t>
      </w:r>
      <w:r w:rsidR="00D63493">
        <w:t xml:space="preserve">water businesses </w:t>
      </w:r>
      <w:r w:rsidR="00A94355">
        <w:t xml:space="preserve">did not have sufficient </w:t>
      </w:r>
      <w:r w:rsidR="00A871BD">
        <w:t>documentation available on their methodology and approach to</w:t>
      </w:r>
      <w:r w:rsidR="001872C7">
        <w:t xml:space="preserve"> calculating and</w:t>
      </w:r>
      <w:r w:rsidR="00A871BD">
        <w:t xml:space="preserve"> </w:t>
      </w:r>
      <w:r w:rsidR="00A82DBB">
        <w:t xml:space="preserve">implementing </w:t>
      </w:r>
      <w:r w:rsidR="00501087">
        <w:t>new</w:t>
      </w:r>
      <w:r w:rsidR="000B579D">
        <w:t xml:space="preserve"> customer contributions</w:t>
      </w:r>
      <w:r>
        <w:t xml:space="preserve">, including how capital expenditure was incorporated into </w:t>
      </w:r>
      <w:r w:rsidR="00C15179">
        <w:t xml:space="preserve">proposed </w:t>
      </w:r>
      <w:r>
        <w:t>charges.</w:t>
      </w:r>
      <w:r w:rsidR="00515161">
        <w:t xml:space="preserve"> </w:t>
      </w:r>
      <w:r w:rsidR="00CE0DE2">
        <w:t xml:space="preserve">This was despite some water businesses proposing relatively large increases in </w:t>
      </w:r>
      <w:r w:rsidR="00A320F4">
        <w:t>N</w:t>
      </w:r>
      <w:r w:rsidR="00CA11A4">
        <w:t>CCs</w:t>
      </w:r>
      <w:r w:rsidR="00CE0DE2">
        <w:t>.</w:t>
      </w:r>
    </w:p>
    <w:p w14:paraId="156D1C37" w14:textId="17099371" w:rsidR="006672B1" w:rsidRPr="00AB1C0C" w:rsidRDefault="006672B1" w:rsidP="006672B1">
      <w:r>
        <w:t xml:space="preserve">Prior to our draft decision, we engaged a consultant </w:t>
      </w:r>
      <w:r w:rsidRPr="00AB1C0C">
        <w:t>to assess</w:t>
      </w:r>
      <w:r>
        <w:t xml:space="preserve"> the allocation of</w:t>
      </w:r>
      <w:r w:rsidRPr="00AB1C0C">
        <w:t xml:space="preserve"> capital expenditure </w:t>
      </w:r>
      <w:r>
        <w:t>to</w:t>
      </w:r>
      <w:r w:rsidRPr="00AB1C0C">
        <w:t xml:space="preserve"> </w:t>
      </w:r>
      <w:r w:rsidR="00501087">
        <w:t>new</w:t>
      </w:r>
      <w:r w:rsidR="000B579D">
        <w:t xml:space="preserve"> customer contributions</w:t>
      </w:r>
      <w:r w:rsidR="00AB36EE">
        <w:t xml:space="preserve"> for </w:t>
      </w:r>
      <w:r w:rsidR="00E05929">
        <w:t>seven</w:t>
      </w:r>
      <w:r w:rsidR="00AB36EE">
        <w:t xml:space="preserve"> water businesses</w:t>
      </w:r>
      <w:r>
        <w:t xml:space="preserve">. Our consultant </w:t>
      </w:r>
      <w:r w:rsidR="00B0416C">
        <w:t>note</w:t>
      </w:r>
      <w:r w:rsidR="00B5704C">
        <w:t>d</w:t>
      </w:r>
      <w:r w:rsidRPr="00AB1C0C">
        <w:t>:</w:t>
      </w:r>
    </w:p>
    <w:p w14:paraId="15E018F7" w14:textId="5EC4A3AD" w:rsidR="006672B1" w:rsidRPr="00C97A31" w:rsidRDefault="006672B1" w:rsidP="006672B1">
      <w:pPr>
        <w:pStyle w:val="Quote"/>
        <w:keepNext/>
        <w:keepLines/>
        <w:rPr>
          <w:i/>
          <w:color w:val="57595C" w:themeColor="background2" w:themeShade="BF"/>
        </w:rPr>
      </w:pPr>
      <w:r w:rsidRPr="00C97A31">
        <w:rPr>
          <w:i/>
          <w:color w:val="57595C" w:themeColor="background2" w:themeShade="BF"/>
        </w:rPr>
        <w:t>[the documentation provided by the businesses it reviewed] was not sufficient to allow for a complete assessment of capital expenditure. It was apparent that no policy documents had been developed by these seven water businesses prior to submitting their pricing proposals to the commission. What was provided by these water businesses was mainly developed in response to our request for supporting information. None of these water businesses could articulate how it had implemented a pre-determined methodology.</w:t>
      </w:r>
      <w:r w:rsidRPr="00C97A31">
        <w:rPr>
          <w:i/>
          <w:color w:val="57595C" w:themeColor="background2" w:themeShade="BF"/>
          <w:vertAlign w:val="superscript"/>
        </w:rPr>
        <w:footnoteReference w:id="41"/>
      </w:r>
    </w:p>
    <w:p w14:paraId="58BF85EE" w14:textId="50D369F6" w:rsidR="00A46E2A" w:rsidRDefault="00515161" w:rsidP="00A46E2A">
      <w:r>
        <w:t>While this was addressed during our review</w:t>
      </w:r>
      <w:r w:rsidR="00726200">
        <w:t xml:space="preserve"> and additional information was provided</w:t>
      </w:r>
      <w:r w:rsidR="00E05929">
        <w:t xml:space="preserve"> to inform our final decisions</w:t>
      </w:r>
      <w:r>
        <w:t xml:space="preserve">, </w:t>
      </w:r>
      <w:r w:rsidR="002A7A34">
        <w:t xml:space="preserve">we expect </w:t>
      </w:r>
      <w:r w:rsidR="00DF43FD">
        <w:t xml:space="preserve">this </w:t>
      </w:r>
      <w:r w:rsidR="002A7A34">
        <w:t xml:space="preserve">information </w:t>
      </w:r>
      <w:r w:rsidR="00DF43FD">
        <w:t xml:space="preserve">would be </w:t>
      </w:r>
      <w:r w:rsidR="002A7A34">
        <w:t xml:space="preserve">available to inform </w:t>
      </w:r>
      <w:r w:rsidR="002551D4">
        <w:t xml:space="preserve">water business </w:t>
      </w:r>
      <w:r w:rsidR="002A7A34">
        <w:t xml:space="preserve">consultation and therefore, available </w:t>
      </w:r>
      <w:r w:rsidR="00891C9E">
        <w:t xml:space="preserve">to us </w:t>
      </w:r>
      <w:r w:rsidR="002A7A34">
        <w:t xml:space="preserve">at the time </w:t>
      </w:r>
      <w:r w:rsidR="00A458C5">
        <w:t>a price submission is lodged</w:t>
      </w:r>
      <w:r w:rsidR="002A7A34">
        <w:t>.</w:t>
      </w:r>
      <w:r w:rsidR="00DF4A89">
        <w:t xml:space="preserve"> It would cover issues such </w:t>
      </w:r>
      <w:r w:rsidR="00DF4A89">
        <w:lastRenderedPageBreak/>
        <w:t xml:space="preserve">as the types of assets and costs included in </w:t>
      </w:r>
      <w:r w:rsidR="00501087">
        <w:t>new</w:t>
      </w:r>
      <w:r w:rsidR="000B579D">
        <w:t xml:space="preserve"> customer contributions</w:t>
      </w:r>
      <w:r w:rsidR="00A46E2A">
        <w:t>, and projections for connections growth underpinning them</w:t>
      </w:r>
      <w:r w:rsidR="008E451D">
        <w:t>. Forecasts should also b</w:t>
      </w:r>
      <w:r w:rsidR="00A46E2A">
        <w:t>e consistent with assumptions in the regulatory building block revenue and regulatory asset base pricing models</w:t>
      </w:r>
      <w:r w:rsidR="008E451D">
        <w:t>.</w:t>
      </w:r>
    </w:p>
    <w:p w14:paraId="428D4188" w14:textId="3DA013A3" w:rsidR="00FE0CFE" w:rsidRDefault="00594FAB" w:rsidP="00C46815">
      <w:r w:rsidRPr="006A56FC">
        <w:t>S</w:t>
      </w:r>
      <w:r w:rsidR="00874736" w:rsidRPr="006A56FC">
        <w:t xml:space="preserve">ome </w:t>
      </w:r>
      <w:r w:rsidRPr="006A56FC">
        <w:t>water businesses</w:t>
      </w:r>
      <w:r w:rsidR="00874736" w:rsidRPr="00471075">
        <w:t xml:space="preserve"> sought recovery of costs for assets including </w:t>
      </w:r>
      <w:r w:rsidR="004D4765" w:rsidRPr="00471075">
        <w:t xml:space="preserve">treatment plants, headworks and bulk water assets, with some </w:t>
      </w:r>
      <w:r w:rsidR="00FE0CFE">
        <w:t xml:space="preserve">also </w:t>
      </w:r>
      <w:r w:rsidR="004D4765" w:rsidRPr="00471075">
        <w:t>proposing to recover historic (or sunk) costs associated with assets</w:t>
      </w:r>
      <w:r w:rsidR="00B9140A" w:rsidRPr="00471075">
        <w:t xml:space="preserve"> for the first time at the 2023 water price review</w:t>
      </w:r>
      <w:r w:rsidR="004D4765" w:rsidRPr="00471075">
        <w:t xml:space="preserve">. </w:t>
      </w:r>
      <w:r w:rsidR="00A90C2C">
        <w:t>T</w:t>
      </w:r>
      <w:r w:rsidR="00FE0CFE">
        <w:t xml:space="preserve">hese decisions can impact </w:t>
      </w:r>
      <w:r w:rsidR="00A90C2C">
        <w:t>which customers pay for services, and when.</w:t>
      </w:r>
      <w:r w:rsidR="009A29D7">
        <w:t xml:space="preserve"> It indicates additional guidance may be needed on the nature of costs recovered via </w:t>
      </w:r>
      <w:r w:rsidR="00501087">
        <w:t>new</w:t>
      </w:r>
      <w:r w:rsidR="000B579D">
        <w:t xml:space="preserve"> customer contributions</w:t>
      </w:r>
      <w:r w:rsidR="009A29D7">
        <w:t>.</w:t>
      </w:r>
    </w:p>
    <w:p w14:paraId="7BBF6B49" w14:textId="3959CC22" w:rsidR="00E0568D" w:rsidRDefault="00F34047" w:rsidP="0074103C">
      <w:r w:rsidRPr="00A50B17">
        <w:t>Appendix A</w:t>
      </w:r>
      <w:r w:rsidR="006430EF" w:rsidRPr="00A50B17">
        <w:t xml:space="preserve"> (</w:t>
      </w:r>
      <w:r w:rsidR="006430EF" w:rsidRPr="00A8097F">
        <w:t>s</w:t>
      </w:r>
      <w:r w:rsidRPr="00A8097F">
        <w:t xml:space="preserve">ection </w:t>
      </w:r>
      <w:r w:rsidR="00580CE1" w:rsidRPr="00A8097F">
        <w:t xml:space="preserve">A.3.2 </w:t>
      </w:r>
      <w:r w:rsidRPr="00A8097F">
        <w:t>and</w:t>
      </w:r>
      <w:r w:rsidRPr="00A50B17">
        <w:t xml:space="preserve"> Table A.1</w:t>
      </w:r>
      <w:r w:rsidR="006430EF" w:rsidRPr="00A50B17">
        <w:t>)</w:t>
      </w:r>
      <w:r w:rsidR="003A1C6B" w:rsidRPr="00A50B17">
        <w:t>,</w:t>
      </w:r>
      <w:r w:rsidRPr="00A50B17">
        <w:t xml:space="preserve"> </w:t>
      </w:r>
      <w:r w:rsidR="00A50B17">
        <w:t>sets out in more detail</w:t>
      </w:r>
      <w:r w:rsidR="00580CE1" w:rsidRPr="00A50B17">
        <w:t xml:space="preserve"> considerations for the scope of recoverable costs</w:t>
      </w:r>
      <w:r w:rsidR="00A50B17">
        <w:t>,</w:t>
      </w:r>
      <w:r w:rsidR="00580CE1" w:rsidRPr="00A50B17">
        <w:t xml:space="preserve"> with examples of how other regulators have given guidance </w:t>
      </w:r>
      <w:r w:rsidR="00832833">
        <w:t xml:space="preserve">on these costs. </w:t>
      </w:r>
    </w:p>
    <w:p w14:paraId="75A8D8AA" w14:textId="2382A02E" w:rsidR="00551A3F" w:rsidRDefault="00B95079" w:rsidP="002D0C99">
      <w:pPr>
        <w:pStyle w:val="Heading2numbered"/>
        <w:ind w:left="0" w:firstLine="0"/>
      </w:pPr>
      <w:bookmarkStart w:id="55" w:name="_Toc168330189"/>
      <w:bookmarkStart w:id="56" w:name="_Toc174348969"/>
      <w:bookmarkEnd w:id="55"/>
      <w:r>
        <w:rPr>
          <w:lang w:val="en-GB" w:eastAsia="zh-CN"/>
        </w:rPr>
        <w:t>A</w:t>
      </w:r>
      <w:r w:rsidR="003B641A">
        <w:rPr>
          <w:lang w:val="en-GB" w:eastAsia="zh-CN"/>
        </w:rPr>
        <w:t xml:space="preserve"> preference for </w:t>
      </w:r>
      <w:r w:rsidR="00DC27AD">
        <w:rPr>
          <w:lang w:val="en-GB" w:eastAsia="zh-CN"/>
        </w:rPr>
        <w:t>standard</w:t>
      </w:r>
      <w:r w:rsidR="003B641A">
        <w:rPr>
          <w:lang w:val="en-GB" w:eastAsia="zh-CN"/>
        </w:rPr>
        <w:t xml:space="preserve"> pricing</w:t>
      </w:r>
      <w:bookmarkEnd w:id="56"/>
      <w:r w:rsidR="003B641A">
        <w:rPr>
          <w:lang w:val="en-GB" w:eastAsia="zh-CN"/>
        </w:rPr>
        <w:t xml:space="preserve"> </w:t>
      </w:r>
    </w:p>
    <w:p w14:paraId="449EC2B2" w14:textId="679E221F" w:rsidR="00551A3F" w:rsidRDefault="00CC3AA2" w:rsidP="0095150F">
      <w:pPr>
        <w:pStyle w:val="Pull-out"/>
        <w:keepNext/>
        <w:keepLines/>
      </w:pPr>
      <w:r>
        <w:t>Our</w:t>
      </w:r>
      <w:r w:rsidR="00551A3F">
        <w:t xml:space="preserve"> principles-based </w:t>
      </w:r>
      <w:r w:rsidR="00BD4AB3">
        <w:t>new customer contributions</w:t>
      </w:r>
      <w:r w:rsidR="00551A3F">
        <w:t xml:space="preserve"> framework </w:t>
      </w:r>
      <w:r w:rsidR="00294530">
        <w:t>promotes a</w:t>
      </w:r>
      <w:r w:rsidR="00551A3F">
        <w:t xml:space="preserve"> flexible </w:t>
      </w:r>
      <w:r w:rsidR="00D40E6F">
        <w:t xml:space="preserve">negotiate </w:t>
      </w:r>
      <w:r w:rsidR="00551A3F">
        <w:t>and arbitrate connection regime as envisaged by the legislation and set out in our 2012</w:t>
      </w:r>
      <w:r w:rsidR="00AC12BC">
        <w:t xml:space="preserve"> </w:t>
      </w:r>
      <w:r w:rsidR="00551A3F">
        <w:t>guidance.</w:t>
      </w:r>
      <w:r w:rsidR="00551A3F">
        <w:rPr>
          <w:rStyle w:val="FootnoteReference"/>
        </w:rPr>
        <w:footnoteReference w:id="42"/>
      </w:r>
      <w:r w:rsidR="00551A3F">
        <w:t xml:space="preserve"> </w:t>
      </w:r>
      <w:r w:rsidR="003F2D5B">
        <w:t>We chose the principles-based</w:t>
      </w:r>
      <w:r w:rsidR="00551A3F">
        <w:t xml:space="preserve"> </w:t>
      </w:r>
      <w:r w:rsidR="005C6A88">
        <w:t xml:space="preserve">framework </w:t>
      </w:r>
      <w:r w:rsidR="00551A3F">
        <w:t xml:space="preserve">in response to the issues that arose for </w:t>
      </w:r>
      <w:r w:rsidR="00A22078">
        <w:t>connection applicants</w:t>
      </w:r>
      <w:r w:rsidR="00A22078" w:rsidDel="00A22078">
        <w:t xml:space="preserve"> </w:t>
      </w:r>
      <w:r w:rsidR="00551A3F">
        <w:t xml:space="preserve">and water businesses prior to </w:t>
      </w:r>
      <w:r w:rsidR="004913A6">
        <w:t xml:space="preserve">the </w:t>
      </w:r>
      <w:r w:rsidR="00551A3F">
        <w:t>201</w:t>
      </w:r>
      <w:r w:rsidR="004913A6">
        <w:t>3</w:t>
      </w:r>
      <w:r w:rsidR="00551A3F">
        <w:t xml:space="preserve"> </w:t>
      </w:r>
      <w:r w:rsidR="00D004F1">
        <w:t>n</w:t>
      </w:r>
      <w:r w:rsidR="00BD4AB3">
        <w:t>ew customer contributions</w:t>
      </w:r>
      <w:r w:rsidR="00551A3F">
        <w:t xml:space="preserve"> framework</w:t>
      </w:r>
      <w:r w:rsidR="004913A6">
        <w:t xml:space="preserve">. </w:t>
      </w:r>
    </w:p>
    <w:p w14:paraId="0BD713AC" w14:textId="42A91A2C" w:rsidR="000B5991" w:rsidRDefault="00823133" w:rsidP="00DC2D0B">
      <w:r>
        <w:t>T</w:t>
      </w:r>
      <w:r w:rsidR="002B0F5C">
        <w:t xml:space="preserve">he framework established from 2013 provided </w:t>
      </w:r>
      <w:r w:rsidR="0023295F">
        <w:t>for</w:t>
      </w:r>
      <w:r w:rsidR="002B0F5C">
        <w:t xml:space="preserve"> flexibility</w:t>
      </w:r>
      <w:r w:rsidR="007D2EC8">
        <w:t xml:space="preserve"> regarding </w:t>
      </w:r>
      <w:r w:rsidR="00501087">
        <w:t>new</w:t>
      </w:r>
      <w:r w:rsidR="000B579D">
        <w:t xml:space="preserve"> customer contributions</w:t>
      </w:r>
      <w:r w:rsidR="007D2EC8">
        <w:t xml:space="preserve">. </w:t>
      </w:r>
      <w:r w:rsidR="000B5991">
        <w:t xml:space="preserve">Under the framework, the commission assesses and approves pricing principles, any standardised charges and </w:t>
      </w:r>
      <w:r w:rsidR="006F5C1D">
        <w:t xml:space="preserve">a </w:t>
      </w:r>
      <w:r w:rsidR="000B5991">
        <w:t xml:space="preserve">negotiation framework </w:t>
      </w:r>
      <w:r w:rsidR="0006071D">
        <w:t>for</w:t>
      </w:r>
      <w:r w:rsidR="000B5991">
        <w:t xml:space="preserve"> each water corporation. </w:t>
      </w:r>
    </w:p>
    <w:p w14:paraId="466FC19D" w14:textId="3993F813" w:rsidR="000E6AC8" w:rsidRDefault="00823133" w:rsidP="00823133">
      <w:r>
        <w:t>As noted earlier, s</w:t>
      </w:r>
      <w:r w:rsidR="004B182E">
        <w:t xml:space="preserve">tandard </w:t>
      </w:r>
      <w:r w:rsidR="00A320F4">
        <w:t>N</w:t>
      </w:r>
      <w:r w:rsidR="007B2B45">
        <w:t>CC</w:t>
      </w:r>
      <w:r w:rsidR="00A320F4">
        <w:t>s</w:t>
      </w:r>
      <w:r w:rsidR="004B182E">
        <w:t xml:space="preserve"> were intended to apply </w:t>
      </w:r>
      <w:r w:rsidR="00D176A3">
        <w:t>to</w:t>
      </w:r>
      <w:r w:rsidR="004B182E">
        <w:t xml:space="preserve"> connections in areas where infrastructure requirements and growth rates are relatively well know</w:t>
      </w:r>
      <w:r w:rsidR="00690B41">
        <w:t>n</w:t>
      </w:r>
      <w:r w:rsidR="004B182E">
        <w:t xml:space="preserve">, making </w:t>
      </w:r>
      <w:r w:rsidR="00690B41">
        <w:t xml:space="preserve">the costs for connections across some areas predictable and reasonably common. </w:t>
      </w:r>
      <w:r w:rsidR="00F70C01">
        <w:t>T</w:t>
      </w:r>
      <w:r w:rsidR="00DD031C">
        <w:t>hey</w:t>
      </w:r>
      <w:r w:rsidR="006F2A2B">
        <w:t xml:space="preserve"> s</w:t>
      </w:r>
      <w:r w:rsidR="00DD031C">
        <w:t xml:space="preserve">erve an administratively efficient alternative </w:t>
      </w:r>
      <w:r w:rsidR="009C778A">
        <w:t>to more location</w:t>
      </w:r>
      <w:r w:rsidR="00BE4881">
        <w:t>-</w:t>
      </w:r>
      <w:r w:rsidR="009C778A">
        <w:t xml:space="preserve">based arrangements, </w:t>
      </w:r>
      <w:r w:rsidR="00DD031C">
        <w:t xml:space="preserve">where both parties consider the standard </w:t>
      </w:r>
      <w:r w:rsidR="006F2A2B">
        <w:t xml:space="preserve">charges </w:t>
      </w:r>
      <w:r w:rsidR="00DD031C">
        <w:t>to be fair and reasonable in the circumstances</w:t>
      </w:r>
      <w:r w:rsidR="006F2A2B">
        <w:t>.</w:t>
      </w:r>
    </w:p>
    <w:p w14:paraId="09E3596F" w14:textId="45B2DCA8" w:rsidR="00541F9F" w:rsidRDefault="00E9653D" w:rsidP="00DC2D0B">
      <w:r>
        <w:t>In our 2023 water price review, w</w:t>
      </w:r>
      <w:r w:rsidR="00DC2D0B">
        <w:t xml:space="preserve">e observed </w:t>
      </w:r>
      <w:r w:rsidR="00213002">
        <w:t xml:space="preserve">what appears to be </w:t>
      </w:r>
      <w:r w:rsidR="00541F9F">
        <w:t>a preference</w:t>
      </w:r>
      <w:r w:rsidR="00584AE1">
        <w:t xml:space="preserve"> among water businesses</w:t>
      </w:r>
      <w:r w:rsidR="00541F9F">
        <w:t xml:space="preserve"> for more common pricing. This included proposals for the application of standard </w:t>
      </w:r>
      <w:r w:rsidR="00A320F4">
        <w:t>N</w:t>
      </w:r>
      <w:r w:rsidR="00E86754">
        <w:t>CCs</w:t>
      </w:r>
      <w:r w:rsidR="00541F9F">
        <w:t xml:space="preserve"> over relatively large areas</w:t>
      </w:r>
      <w:r w:rsidR="008F2FEA">
        <w:t>, even</w:t>
      </w:r>
      <w:r w:rsidR="00252078">
        <w:t xml:space="preserve"> </w:t>
      </w:r>
      <w:r w:rsidR="009C778A">
        <w:t xml:space="preserve">where costs </w:t>
      </w:r>
      <w:r w:rsidR="00866E59">
        <w:t xml:space="preserve">may have </w:t>
      </w:r>
      <w:r w:rsidR="009C778A">
        <w:t>differ</w:t>
      </w:r>
      <w:r w:rsidR="003277BF">
        <w:t>ed</w:t>
      </w:r>
      <w:r w:rsidR="009C778A">
        <w:t xml:space="preserve"> </w:t>
      </w:r>
      <w:r w:rsidR="000E4A3A">
        <w:t>materially</w:t>
      </w:r>
      <w:r w:rsidR="00D16980">
        <w:t xml:space="preserve"> </w:t>
      </w:r>
      <w:r w:rsidR="006F5C1D">
        <w:t>within the</w:t>
      </w:r>
      <w:r w:rsidR="00E7514F">
        <w:t xml:space="preserve"> </w:t>
      </w:r>
      <w:r w:rsidR="00D26E30">
        <w:t>areas</w:t>
      </w:r>
      <w:r w:rsidR="003B428E">
        <w:t>. We also observed</w:t>
      </w:r>
      <w:r w:rsidR="0090668C">
        <w:t xml:space="preserve"> </w:t>
      </w:r>
      <w:r w:rsidR="00816E86">
        <w:t xml:space="preserve">a preference </w:t>
      </w:r>
      <w:r w:rsidR="0090668C">
        <w:t xml:space="preserve">for </w:t>
      </w:r>
      <w:r w:rsidR="00816E86">
        <w:t xml:space="preserve">the application of </w:t>
      </w:r>
      <w:r w:rsidR="0090668C">
        <w:t>standard charges versus negotiated arrangements</w:t>
      </w:r>
      <w:r w:rsidR="00866E59">
        <w:t xml:space="preserve"> for specific locations</w:t>
      </w:r>
      <w:r w:rsidR="0090668C">
        <w:t>.</w:t>
      </w:r>
    </w:p>
    <w:p w14:paraId="3D3AD2F8" w14:textId="69A09FD2" w:rsidR="00391BC7" w:rsidRDefault="00391BC7" w:rsidP="00DC2D0B">
      <w:r>
        <w:lastRenderedPageBreak/>
        <w:t xml:space="preserve">While the use of </w:t>
      </w:r>
      <w:r w:rsidR="008F2FEA">
        <w:t xml:space="preserve">standard </w:t>
      </w:r>
      <w:r w:rsidR="00A320F4">
        <w:t>N</w:t>
      </w:r>
      <w:r w:rsidR="0059743C">
        <w:t>CC</w:t>
      </w:r>
      <w:r w:rsidR="00A320F4">
        <w:t>s</w:t>
      </w:r>
      <w:r w:rsidR="007D5455">
        <w:t xml:space="preserve"> </w:t>
      </w:r>
      <w:r>
        <w:t>has benefits</w:t>
      </w:r>
      <w:r w:rsidR="00A66536">
        <w:t>,</w:t>
      </w:r>
      <w:r w:rsidR="001811D7">
        <w:t xml:space="preserve"> t</w:t>
      </w:r>
      <w:r w:rsidR="007D5455">
        <w:t xml:space="preserve">here may be instances where </w:t>
      </w:r>
      <w:r w:rsidR="00326DD7">
        <w:t xml:space="preserve">it is more appropriate to have </w:t>
      </w:r>
      <w:r w:rsidR="00F56896">
        <w:t>several</w:t>
      </w:r>
      <w:r w:rsidR="00326DD7">
        <w:t xml:space="preserve"> standard </w:t>
      </w:r>
      <w:r w:rsidR="00A320F4">
        <w:t>N</w:t>
      </w:r>
      <w:r w:rsidR="00751A67">
        <w:t>CC</w:t>
      </w:r>
      <w:r w:rsidR="00A320F4">
        <w:t>s</w:t>
      </w:r>
      <w:r w:rsidR="00326DD7">
        <w:t xml:space="preserve"> within a water businesses region, or to negotiate </w:t>
      </w:r>
      <w:r w:rsidR="00501087">
        <w:t>new</w:t>
      </w:r>
      <w:r w:rsidR="000B579D">
        <w:t xml:space="preserve"> customer contributions</w:t>
      </w:r>
      <w:r w:rsidR="00326DD7">
        <w:t xml:space="preserve"> through the negotiation framework. </w:t>
      </w:r>
    </w:p>
    <w:p w14:paraId="265E5997" w14:textId="627BC4ED" w:rsidR="0080042B" w:rsidRDefault="001F3D35" w:rsidP="001F3D35">
      <w:r>
        <w:t xml:space="preserve">The use of standard </w:t>
      </w:r>
      <w:r w:rsidR="00A320F4">
        <w:t>N</w:t>
      </w:r>
      <w:r w:rsidR="00751A67">
        <w:t>CC</w:t>
      </w:r>
      <w:r w:rsidR="00A320F4">
        <w:t>s</w:t>
      </w:r>
      <w:r>
        <w:t xml:space="preserve"> where more locational based arrangements are more appropriate may result in connection applicants in one system or location subsidising other connection applicants on another water system. </w:t>
      </w:r>
      <w:r w:rsidR="00C253E2">
        <w:t xml:space="preserve">It could </w:t>
      </w:r>
      <w:r w:rsidRPr="00213A5F">
        <w:t>also send incorrect signals</w:t>
      </w:r>
      <w:r>
        <w:t xml:space="preserve"> on </w:t>
      </w:r>
      <w:r w:rsidR="00C253E2">
        <w:t xml:space="preserve">the </w:t>
      </w:r>
      <w:r>
        <w:t xml:space="preserve">allocation of investment by connection applicants, which may lead to over or under investment in particular areas. </w:t>
      </w:r>
    </w:p>
    <w:p w14:paraId="19110A5E" w14:textId="2B84853F" w:rsidR="0080042B" w:rsidRDefault="00C22156" w:rsidP="001F3D35">
      <w:r>
        <w:t>We also observe that</w:t>
      </w:r>
      <w:r w:rsidR="001F3D35">
        <w:t xml:space="preserve"> </w:t>
      </w:r>
      <w:r>
        <w:t xml:space="preserve">few water businesses proposed </w:t>
      </w:r>
      <w:r w:rsidR="00430DF0">
        <w:t>NCCs</w:t>
      </w:r>
      <w:r>
        <w:t xml:space="preserve"> that reflected the type of growth (infill versus greenfield development) in their service area.</w:t>
      </w:r>
      <w:r w:rsidR="0080042B">
        <w:t xml:space="preserve"> </w:t>
      </w:r>
    </w:p>
    <w:p w14:paraId="5E299842" w14:textId="52F00CF9" w:rsidR="00C53FB6" w:rsidRDefault="00C53FB6" w:rsidP="00DE0B37">
      <w:r>
        <w:t xml:space="preserve">We are interested in the observations from stakeholders on the use of standard and negotiated </w:t>
      </w:r>
      <w:r w:rsidR="00A320F4">
        <w:t>N</w:t>
      </w:r>
      <w:r w:rsidR="008E10FC">
        <w:t>CC</w:t>
      </w:r>
      <w:r w:rsidR="00A320F4">
        <w:t>s</w:t>
      </w:r>
      <w:r w:rsidR="00EF6FE5">
        <w:t xml:space="preserve"> and how any changes in their use or application might better support the objectives of the framework we administer.</w:t>
      </w:r>
    </w:p>
    <w:p w14:paraId="5D8F2BA6" w14:textId="6BE80B1B" w:rsidR="002066D4" w:rsidRPr="003200A6" w:rsidRDefault="006B30EB" w:rsidP="002D0C99">
      <w:pPr>
        <w:pStyle w:val="Heading2numbered"/>
        <w:ind w:left="0" w:firstLine="0"/>
        <w:rPr>
          <w:lang w:val="en-GB" w:eastAsia="zh-CN"/>
        </w:rPr>
      </w:pPr>
      <w:bookmarkStart w:id="57" w:name="_Toc174348970"/>
      <w:r>
        <w:rPr>
          <w:lang w:val="en-GB" w:eastAsia="zh-CN"/>
        </w:rPr>
        <w:t>N</w:t>
      </w:r>
      <w:r w:rsidR="002066D4" w:rsidRPr="003200A6">
        <w:rPr>
          <w:lang w:val="en-GB" w:eastAsia="zh-CN"/>
        </w:rPr>
        <w:t>egotiating framework</w:t>
      </w:r>
      <w:r w:rsidR="005B4271" w:rsidRPr="003200A6">
        <w:rPr>
          <w:lang w:val="en-GB" w:eastAsia="zh-CN"/>
        </w:rPr>
        <w:t xml:space="preserve"> requirements </w:t>
      </w:r>
      <w:r>
        <w:rPr>
          <w:lang w:val="en-GB" w:eastAsia="zh-CN"/>
        </w:rPr>
        <w:t xml:space="preserve">inadequately </w:t>
      </w:r>
      <w:r w:rsidR="005B4271" w:rsidRPr="003200A6">
        <w:rPr>
          <w:lang w:val="en-GB" w:eastAsia="zh-CN"/>
        </w:rPr>
        <w:t>met</w:t>
      </w:r>
      <w:bookmarkEnd w:id="57"/>
    </w:p>
    <w:p w14:paraId="4F4B4973" w14:textId="7487373B" w:rsidR="002066D4" w:rsidRDefault="00E36AC5" w:rsidP="002066D4">
      <w:r>
        <w:t>A</w:t>
      </w:r>
      <w:r w:rsidR="002D1D15" w:rsidRPr="007E1518">
        <w:t xml:space="preserve"> </w:t>
      </w:r>
      <w:r>
        <w:t xml:space="preserve">water </w:t>
      </w:r>
      <w:r w:rsidR="002D1D15" w:rsidRPr="007E1518">
        <w:t>business</w:t>
      </w:r>
      <w:r w:rsidR="00A96791" w:rsidRPr="007E1518">
        <w:t>’</w:t>
      </w:r>
      <w:r w:rsidR="002066D4" w:rsidRPr="007E1518">
        <w:t xml:space="preserve"> negotiating framework explain</w:t>
      </w:r>
      <w:r w:rsidR="00B96073" w:rsidRPr="007E1518">
        <w:t>s</w:t>
      </w:r>
      <w:r w:rsidR="002066D4" w:rsidRPr="007E1518">
        <w:t xml:space="preserve"> connection applicants’ rights and obligations, </w:t>
      </w:r>
      <w:r w:rsidR="00185DB0" w:rsidRPr="007E1518">
        <w:t xml:space="preserve">information requirements, </w:t>
      </w:r>
      <w:r w:rsidR="002066D4" w:rsidRPr="007E1518">
        <w:t>the service charging model, applicable pricing principles</w:t>
      </w:r>
      <w:r w:rsidR="005F4972">
        <w:t xml:space="preserve"> and</w:t>
      </w:r>
      <w:r w:rsidR="002066D4" w:rsidRPr="007E1518">
        <w:t xml:space="preserve"> the negotiating process.</w:t>
      </w:r>
    </w:p>
    <w:p w14:paraId="4FE3919F" w14:textId="5003F757" w:rsidR="00034225" w:rsidRDefault="002066D4" w:rsidP="002066D4">
      <w:r>
        <w:t>During the 2023 water price review, we review</w:t>
      </w:r>
      <w:r w:rsidR="007E1518">
        <w:t>ed</w:t>
      </w:r>
      <w:r>
        <w:t xml:space="preserve"> </w:t>
      </w:r>
      <w:r w:rsidR="004469B3">
        <w:t xml:space="preserve">each </w:t>
      </w:r>
      <w:r>
        <w:t>water businesses’ negotiat</w:t>
      </w:r>
      <w:r w:rsidR="00A77A63">
        <w:t>ing</w:t>
      </w:r>
      <w:r>
        <w:t xml:space="preserve"> framework. </w:t>
      </w:r>
      <w:r w:rsidR="001335FC" w:rsidRPr="008F5A05">
        <w:t>W</w:t>
      </w:r>
      <w:r w:rsidRPr="008F5A05">
        <w:t xml:space="preserve">e observed water businesses provided varying degrees of information to </w:t>
      </w:r>
      <w:r w:rsidR="00A22078" w:rsidRPr="008F5A05">
        <w:t>connection applicants</w:t>
      </w:r>
      <w:r w:rsidRPr="008F5A05">
        <w:t xml:space="preserve">, which </w:t>
      </w:r>
      <w:r w:rsidR="00785D39" w:rsidRPr="008F5A05">
        <w:t>meant</w:t>
      </w:r>
      <w:r w:rsidRPr="008F5A05">
        <w:t xml:space="preserve"> </w:t>
      </w:r>
      <w:r w:rsidR="00F55101" w:rsidRPr="008F5A05">
        <w:t xml:space="preserve">the </w:t>
      </w:r>
      <w:r w:rsidRPr="008F5A05">
        <w:t>negotiating framework</w:t>
      </w:r>
      <w:r w:rsidR="00F55101" w:rsidRPr="008F5A05">
        <w:t>s</w:t>
      </w:r>
      <w:r w:rsidRPr="008F5A05">
        <w:t xml:space="preserve"> differ</w:t>
      </w:r>
      <w:r w:rsidR="00785D39" w:rsidRPr="008F5A05">
        <w:t>ed</w:t>
      </w:r>
      <w:r w:rsidRPr="008F5A05">
        <w:t xml:space="preserve"> across water businesses.</w:t>
      </w:r>
      <w:r>
        <w:t xml:space="preserve"> </w:t>
      </w:r>
      <w:r w:rsidR="004E6F4C">
        <w:t xml:space="preserve">Some frameworks were not publicly available and some </w:t>
      </w:r>
      <w:r w:rsidR="007100CE">
        <w:t>included references inconsistent with the explanatory note we issued in 2013.</w:t>
      </w:r>
    </w:p>
    <w:p w14:paraId="38FDDEE9" w14:textId="45C92029" w:rsidR="002066D4" w:rsidRDefault="00D02430" w:rsidP="002066D4">
      <w:r>
        <w:t>We observed that</w:t>
      </w:r>
      <w:r w:rsidR="002066D4" w:rsidRPr="00392E84">
        <w:t xml:space="preserve"> </w:t>
      </w:r>
      <w:r w:rsidR="002C693E">
        <w:t>connection applicants</w:t>
      </w:r>
      <w:r w:rsidR="002C693E" w:rsidRPr="00392E84" w:rsidDel="002C693E">
        <w:t xml:space="preserve"> </w:t>
      </w:r>
      <w:r w:rsidR="001968FF">
        <w:t xml:space="preserve">have </w:t>
      </w:r>
      <w:r w:rsidR="001968FF" w:rsidRPr="00034225">
        <w:t>not a</w:t>
      </w:r>
      <w:r w:rsidR="009C2B65" w:rsidRPr="00034225">
        <w:t>c</w:t>
      </w:r>
      <w:r w:rsidR="001968FF" w:rsidRPr="00034225">
        <w:t>cepted</w:t>
      </w:r>
      <w:r w:rsidR="002066D4" w:rsidRPr="00034225">
        <w:t xml:space="preserve"> the provisions in some water businesses’ negotiating frameworks</w:t>
      </w:r>
      <w:r w:rsidR="009C2B65" w:rsidRPr="00034225">
        <w:t>,</w:t>
      </w:r>
      <w:r w:rsidR="002066D4" w:rsidRPr="00034225">
        <w:t xml:space="preserve"> which has led to </w:t>
      </w:r>
      <w:r w:rsidR="00F57665" w:rsidRPr="00034225">
        <w:t xml:space="preserve">a </w:t>
      </w:r>
      <w:r w:rsidR="002066D4" w:rsidRPr="00034225">
        <w:t xml:space="preserve">series of complaints and disputes between </w:t>
      </w:r>
      <w:r w:rsidR="002C693E" w:rsidRPr="00034225">
        <w:t>connection applicants</w:t>
      </w:r>
      <w:r w:rsidR="002C693E" w:rsidRPr="00034225" w:rsidDel="002C693E">
        <w:t xml:space="preserve"> </w:t>
      </w:r>
      <w:r w:rsidR="002066D4" w:rsidRPr="00034225">
        <w:t xml:space="preserve">and </w:t>
      </w:r>
      <w:r w:rsidR="009C2B65" w:rsidRPr="00034225">
        <w:t>water businesses</w:t>
      </w:r>
      <w:r w:rsidR="002066D4" w:rsidRPr="00034225">
        <w:t>.</w:t>
      </w:r>
    </w:p>
    <w:p w14:paraId="7E5D56A0" w14:textId="49ADBFEC" w:rsidR="002066D4" w:rsidRDefault="002066D4" w:rsidP="002066D4">
      <w:r>
        <w:t xml:space="preserve">Further, and based on </w:t>
      </w:r>
      <w:r w:rsidR="00A13E13">
        <w:t>several</w:t>
      </w:r>
      <w:r>
        <w:t xml:space="preserve"> queries we have received </w:t>
      </w:r>
      <w:r w:rsidR="00A57831">
        <w:t xml:space="preserve">over time </w:t>
      </w:r>
      <w:r>
        <w:t xml:space="preserve">from connection applicants (as well as questions raised by water </w:t>
      </w:r>
      <w:r w:rsidRPr="008F5A05">
        <w:t>businesses</w:t>
      </w:r>
      <w:r>
        <w:t xml:space="preserve">), </w:t>
      </w:r>
      <w:r w:rsidR="006B6E81">
        <w:t xml:space="preserve">for some businesses </w:t>
      </w:r>
      <w:r w:rsidR="0093585E" w:rsidRPr="008F5A05">
        <w:t xml:space="preserve">we have observed </w:t>
      </w:r>
      <w:r w:rsidRPr="008F5A05">
        <w:t>negotiating frameworks</w:t>
      </w:r>
      <w:r w:rsidR="003079B8" w:rsidRPr="008F5A05">
        <w:t xml:space="preserve"> </w:t>
      </w:r>
      <w:r w:rsidR="00AB360B">
        <w:t>incorrectly</w:t>
      </w:r>
      <w:r w:rsidR="00B7766C">
        <w:t xml:space="preserve"> reflect our </w:t>
      </w:r>
      <w:r w:rsidR="00C67A18">
        <w:t xml:space="preserve">NCC pricing </w:t>
      </w:r>
      <w:r w:rsidR="00B7766C">
        <w:t>principles</w:t>
      </w:r>
      <w:r w:rsidR="00723C2B">
        <w:t>.</w:t>
      </w:r>
      <w:r w:rsidRPr="008F5A05">
        <w:t xml:space="preserve"> </w:t>
      </w:r>
    </w:p>
    <w:p w14:paraId="4A4B7813" w14:textId="59A336E7" w:rsidR="007522E5" w:rsidRDefault="00AD32BB" w:rsidP="0095150F">
      <w:pPr>
        <w:pStyle w:val="Heading2numbered"/>
        <w:ind w:hanging="1440"/>
      </w:pPr>
      <w:bookmarkStart w:id="58" w:name="_Toc174348971"/>
      <w:r>
        <w:lastRenderedPageBreak/>
        <w:t>E</w:t>
      </w:r>
      <w:r w:rsidR="001E6810" w:rsidRPr="003B6F5E">
        <w:t xml:space="preserve">ngagement </w:t>
      </w:r>
      <w:r w:rsidR="000C4E76">
        <w:t>issues</w:t>
      </w:r>
      <w:bookmarkEnd w:id="58"/>
    </w:p>
    <w:p w14:paraId="078C5D4C" w14:textId="662F1052" w:rsidR="00D13DB1" w:rsidRDefault="007522E5">
      <w:pPr>
        <w:pStyle w:val="Pull-out"/>
        <w:keepNext/>
        <w:keepLines/>
      </w:pPr>
      <w:r>
        <w:t>Our water price review guidance require</w:t>
      </w:r>
      <w:r w:rsidR="00561C25">
        <w:t>d</w:t>
      </w:r>
      <w:r>
        <w:t xml:space="preserve"> water business</w:t>
      </w:r>
      <w:r w:rsidR="00561C25">
        <w:t>es</w:t>
      </w:r>
      <w:r>
        <w:t xml:space="preserve"> to provide evidence of consultation with </w:t>
      </w:r>
      <w:r w:rsidR="00C2738E">
        <w:t>connection applicants</w:t>
      </w:r>
      <w:r w:rsidR="00C2738E" w:rsidDel="00C2738E">
        <w:t xml:space="preserve"> </w:t>
      </w:r>
      <w:r>
        <w:t>and how their views have informed the proposed charges, including the</w:t>
      </w:r>
      <w:r w:rsidR="00CB1373">
        <w:t xml:space="preserve"> </w:t>
      </w:r>
      <w:r w:rsidR="00D909A1">
        <w:t>business’</w:t>
      </w:r>
      <w:r>
        <w:t xml:space="preserve"> use of standard </w:t>
      </w:r>
      <w:r w:rsidR="00CE349B">
        <w:t xml:space="preserve">contributions </w:t>
      </w:r>
      <w:r>
        <w:t xml:space="preserve">over negotiated </w:t>
      </w:r>
      <w:r w:rsidR="00CE349B">
        <w:t>contributions</w:t>
      </w:r>
      <w:r w:rsidR="001A715B">
        <w:t>,</w:t>
      </w:r>
      <w:r>
        <w:t xml:space="preserve"> or postage stamp </w:t>
      </w:r>
      <w:r w:rsidR="00CE349B">
        <w:t xml:space="preserve">charges </w:t>
      </w:r>
      <w:r>
        <w:t>over location-based charge</w:t>
      </w:r>
      <w:r w:rsidR="00CE349B">
        <w:t>s</w:t>
      </w:r>
      <w:r>
        <w:t>.</w:t>
      </w:r>
      <w:r w:rsidR="00540B9D">
        <w:rPr>
          <w:rStyle w:val="FootnoteReference"/>
        </w:rPr>
        <w:footnoteReference w:id="43"/>
      </w:r>
      <w:r>
        <w:t xml:space="preserve"> </w:t>
      </w:r>
    </w:p>
    <w:p w14:paraId="0F3C6D18" w14:textId="1B2C6AE7" w:rsidR="007522E5" w:rsidRDefault="00D13DB1" w:rsidP="00D13DB1">
      <w:pPr>
        <w:pStyle w:val="Pull-out"/>
        <w:keepNext/>
        <w:keepLines/>
      </w:pPr>
      <w:r>
        <w:t xml:space="preserve">Our PREMO framework requires water businesses to undertake good engagement with both customers and developers on pricing decisions that affect them. This includes when water and sewerage customers are required to pay for </w:t>
      </w:r>
      <w:r w:rsidR="000A6749">
        <w:t xml:space="preserve">material </w:t>
      </w:r>
      <w:r>
        <w:t xml:space="preserve">shortfall in funding from </w:t>
      </w:r>
      <w:r w:rsidR="006C60B1">
        <w:t>new customer contributions</w:t>
      </w:r>
      <w:r>
        <w:t xml:space="preserve"> over a significant period.</w:t>
      </w:r>
    </w:p>
    <w:p w14:paraId="11C4032C" w14:textId="39451727" w:rsidR="008C3B7A" w:rsidRDefault="008C3B7A" w:rsidP="00D13DB1">
      <w:r>
        <w:t>Water businesses should undertake</w:t>
      </w:r>
      <w:r w:rsidRPr="00CB77AE">
        <w:t xml:space="preserve"> fit</w:t>
      </w:r>
      <w:r w:rsidR="00E81599">
        <w:t>-</w:t>
      </w:r>
      <w:r w:rsidRPr="00CB77AE">
        <w:t>for</w:t>
      </w:r>
      <w:r w:rsidR="00E81599">
        <w:t>-</w:t>
      </w:r>
      <w:r w:rsidRPr="00CB77AE">
        <w:t xml:space="preserve">purpose engagement with both </w:t>
      </w:r>
      <w:r w:rsidR="00C2738E">
        <w:t>connection applicants</w:t>
      </w:r>
      <w:r w:rsidR="00C2738E" w:rsidRPr="00CB77AE" w:rsidDel="00C2738E">
        <w:t xml:space="preserve"> </w:t>
      </w:r>
      <w:r w:rsidRPr="00CB77AE">
        <w:t xml:space="preserve">and </w:t>
      </w:r>
      <w:r>
        <w:t xml:space="preserve">water and sewerage </w:t>
      </w:r>
      <w:r w:rsidRPr="00CB77AE">
        <w:t>customers</w:t>
      </w:r>
      <w:r>
        <w:t xml:space="preserve">. </w:t>
      </w:r>
      <w:r w:rsidR="00144B45">
        <w:t xml:space="preserve">To </w:t>
      </w:r>
      <w:r w:rsidR="00144B45" w:rsidRPr="00CB77AE">
        <w:t>enable meaningful feedback</w:t>
      </w:r>
      <w:r w:rsidR="00144B45">
        <w:t>, b</w:t>
      </w:r>
      <w:r w:rsidR="00E81599">
        <w:t>usinesses</w:t>
      </w:r>
      <w:r>
        <w:t xml:space="preserve"> should provide customers </w:t>
      </w:r>
      <w:r w:rsidR="001B53A0">
        <w:t xml:space="preserve">with </w:t>
      </w:r>
      <w:r w:rsidRPr="00CB77AE">
        <w:t xml:space="preserve">information justifying the reasonableness of proposed standard </w:t>
      </w:r>
      <w:r w:rsidR="00501087">
        <w:t>N</w:t>
      </w:r>
      <w:r w:rsidR="005A4DB5">
        <w:t>CCs</w:t>
      </w:r>
      <w:r>
        <w:t xml:space="preserve"> and information on </w:t>
      </w:r>
      <w:r w:rsidR="001B53A0">
        <w:t xml:space="preserve">the </w:t>
      </w:r>
      <w:r>
        <w:t>t</w:t>
      </w:r>
      <w:r w:rsidRPr="00CB77AE">
        <w:t>ransition to improved cost reflectivity</w:t>
      </w:r>
      <w:r>
        <w:t xml:space="preserve">, </w:t>
      </w:r>
      <w:r w:rsidR="001B53A0">
        <w:t xml:space="preserve">the </w:t>
      </w:r>
      <w:r w:rsidRPr="00CB77AE">
        <w:t xml:space="preserve">subsidy consequences of </w:t>
      </w:r>
      <w:r w:rsidR="004B0D67">
        <w:t xml:space="preserve">cost allocation decisions and </w:t>
      </w:r>
      <w:r>
        <w:t xml:space="preserve">any </w:t>
      </w:r>
      <w:r w:rsidRPr="00CB77AE">
        <w:t xml:space="preserve">proposed </w:t>
      </w:r>
      <w:r w:rsidR="00606803">
        <w:t>NCC</w:t>
      </w:r>
      <w:r>
        <w:t xml:space="preserve"> </w:t>
      </w:r>
      <w:r w:rsidRPr="00CB77AE">
        <w:t>caps</w:t>
      </w:r>
      <w:r>
        <w:t xml:space="preserve">. </w:t>
      </w:r>
    </w:p>
    <w:p w14:paraId="33CAA144" w14:textId="704D7C46" w:rsidR="008C3B7A" w:rsidRDefault="008C3B7A" w:rsidP="00D13DB1">
      <w:r w:rsidRPr="00CB77AE">
        <w:t>Some water businesses have demonstrated this good practice. However, our 2023 water price review process and feedback from the development community in some locations revealed that some water businesses</w:t>
      </w:r>
      <w:r w:rsidR="00037182">
        <w:t xml:space="preserve"> did not follow good practice in their engagement</w:t>
      </w:r>
      <w:r w:rsidRPr="00CB77AE">
        <w:t>.</w:t>
      </w:r>
      <w:r w:rsidR="00F43793">
        <w:t xml:space="preserve"> </w:t>
      </w:r>
    </w:p>
    <w:p w14:paraId="57DB16AC" w14:textId="542B60C8" w:rsidR="00606771" w:rsidRDefault="00606771" w:rsidP="00D13DB1">
      <w:r w:rsidRPr="00606771">
        <w:t xml:space="preserve">In many instances the proposed changes </w:t>
      </w:r>
      <w:r w:rsidR="009506A3" w:rsidRPr="00606771">
        <w:t xml:space="preserve">to </w:t>
      </w:r>
      <w:r w:rsidR="008E492B">
        <w:t>NCCs</w:t>
      </w:r>
      <w:r w:rsidR="009506A3" w:rsidRPr="00606771">
        <w:t xml:space="preserve"> </w:t>
      </w:r>
      <w:r w:rsidRPr="00606771">
        <w:t xml:space="preserve">and </w:t>
      </w:r>
      <w:r w:rsidR="00C176C0">
        <w:t xml:space="preserve">its </w:t>
      </w:r>
      <w:r w:rsidRPr="00606771">
        <w:t xml:space="preserve">impact were not well communicated to </w:t>
      </w:r>
      <w:r w:rsidR="009506A3">
        <w:t>connected applica</w:t>
      </w:r>
      <w:r w:rsidR="00AF1143">
        <w:t>nts</w:t>
      </w:r>
      <w:r w:rsidR="00860BC6">
        <w:t>,</w:t>
      </w:r>
      <w:r w:rsidRPr="00606771">
        <w:t xml:space="preserve"> and water and sewerage customers. </w:t>
      </w:r>
      <w:r w:rsidR="00AB751A">
        <w:t>C</w:t>
      </w:r>
      <w:r w:rsidRPr="00606771">
        <w:t>ustomer</w:t>
      </w:r>
      <w:r w:rsidR="00B573B9">
        <w:t>s</w:t>
      </w:r>
      <w:r w:rsidRPr="00606771">
        <w:t xml:space="preserve"> were not provided with information justifying the reasonableness of proposed standard </w:t>
      </w:r>
      <w:r w:rsidR="00203127">
        <w:t>new customer contributions</w:t>
      </w:r>
      <w:r w:rsidR="00333156">
        <w:t xml:space="preserve">. </w:t>
      </w:r>
    </w:p>
    <w:p w14:paraId="139A7AD1" w14:textId="00A1CB49" w:rsidR="00B709A7" w:rsidRDefault="00B709A7" w:rsidP="00D13DB1">
      <w:r>
        <w:t xml:space="preserve">The </w:t>
      </w:r>
      <w:r w:rsidR="008E492B">
        <w:t>NCC</w:t>
      </w:r>
      <w:r>
        <w:t xml:space="preserve"> framework we administer is a cost-based framework. </w:t>
      </w:r>
      <w:r w:rsidR="00CD213B">
        <w:t xml:space="preserve">Notwithstanding this, we understand that sometimes consideration may need to be given to transition plans </w:t>
      </w:r>
      <w:r w:rsidR="00F9796A">
        <w:t xml:space="preserve">that may </w:t>
      </w:r>
      <w:r w:rsidR="00911F0D">
        <w:t>apply</w:t>
      </w:r>
      <w:r w:rsidR="00F9796A">
        <w:t xml:space="preserve"> within </w:t>
      </w:r>
      <w:r w:rsidR="00911F0D">
        <w:t>a</w:t>
      </w:r>
      <w:r w:rsidR="00F9796A">
        <w:t xml:space="preserve"> regulatory period,</w:t>
      </w:r>
      <w:r w:rsidR="00CD213B">
        <w:t xml:space="preserve"> where there is a relatively large gap between </w:t>
      </w:r>
      <w:r w:rsidR="00CF1BA2">
        <w:t xml:space="preserve">calculated </w:t>
      </w:r>
      <w:r w:rsidR="007916FC">
        <w:t>new customer contributions</w:t>
      </w:r>
      <w:r w:rsidR="00CF1BA2">
        <w:t xml:space="preserve"> and current charges. </w:t>
      </w:r>
      <w:r w:rsidR="003A2DE4">
        <w:t>In these instances, transparency is critical.</w:t>
      </w:r>
    </w:p>
    <w:p w14:paraId="37BB9455" w14:textId="13D6E650" w:rsidR="00D30D58" w:rsidRDefault="00F81E5D" w:rsidP="00D13DB1">
      <w:pPr>
        <w:rPr>
          <w:rFonts w:ascii="Arial" w:eastAsia="Arial" w:hAnsi="Arial" w:cs="Arial"/>
        </w:rPr>
      </w:pPr>
      <w:r>
        <w:t>At the 2023 water price review, w</w:t>
      </w:r>
      <w:r w:rsidR="00761C63">
        <w:rPr>
          <w:rFonts w:ascii="Arial" w:eastAsia="Arial" w:hAnsi="Arial" w:cs="Arial"/>
        </w:rPr>
        <w:t xml:space="preserve">here </w:t>
      </w:r>
      <w:r w:rsidR="00BB2B06">
        <w:rPr>
          <w:rFonts w:ascii="Arial" w:eastAsia="Arial" w:hAnsi="Arial" w:cs="Arial"/>
        </w:rPr>
        <w:t>NCCs</w:t>
      </w:r>
      <w:r w:rsidR="00761C63">
        <w:rPr>
          <w:rFonts w:ascii="Arial" w:eastAsia="Arial" w:hAnsi="Arial" w:cs="Arial"/>
        </w:rPr>
        <w:t xml:space="preserve"> were proposed to be capped</w:t>
      </w:r>
      <w:r w:rsidR="00D6152F">
        <w:rPr>
          <w:rFonts w:ascii="Arial" w:eastAsia="Arial" w:hAnsi="Arial" w:cs="Arial"/>
        </w:rPr>
        <w:t xml:space="preserve"> below the calculated cost reflective charge</w:t>
      </w:r>
      <w:r w:rsidR="00761C63">
        <w:rPr>
          <w:rFonts w:ascii="Arial" w:eastAsia="Arial" w:hAnsi="Arial" w:cs="Arial"/>
        </w:rPr>
        <w:t xml:space="preserve">, some water businesses did not provide a transition plan or </w:t>
      </w:r>
      <w:r w:rsidR="00887754">
        <w:rPr>
          <w:rFonts w:ascii="Arial" w:eastAsia="Arial" w:hAnsi="Arial" w:cs="Arial"/>
        </w:rPr>
        <w:t xml:space="preserve">what we considered </w:t>
      </w:r>
      <w:r w:rsidR="00761C63">
        <w:rPr>
          <w:rFonts w:ascii="Arial" w:eastAsia="Arial" w:hAnsi="Arial" w:cs="Arial"/>
        </w:rPr>
        <w:t xml:space="preserve">a reasonable plan </w:t>
      </w:r>
      <w:r w:rsidR="00887754">
        <w:rPr>
          <w:rFonts w:ascii="Arial" w:eastAsia="Arial" w:hAnsi="Arial" w:cs="Arial"/>
        </w:rPr>
        <w:t>to achieve</w:t>
      </w:r>
      <w:r w:rsidR="00761C63">
        <w:rPr>
          <w:rFonts w:ascii="Arial" w:eastAsia="Arial" w:hAnsi="Arial" w:cs="Arial"/>
        </w:rPr>
        <w:t xml:space="preserve"> cost reflectiv</w:t>
      </w:r>
      <w:r w:rsidR="00BA111A">
        <w:rPr>
          <w:rFonts w:ascii="Arial" w:eastAsia="Arial" w:hAnsi="Arial" w:cs="Arial"/>
        </w:rPr>
        <w:t>ity</w:t>
      </w:r>
      <w:r w:rsidR="00761C63">
        <w:rPr>
          <w:rFonts w:ascii="Arial" w:eastAsia="Arial" w:hAnsi="Arial" w:cs="Arial"/>
        </w:rPr>
        <w:t>.</w:t>
      </w:r>
    </w:p>
    <w:p w14:paraId="4D31236C" w14:textId="3FF3FA68" w:rsidR="00FF256A" w:rsidRDefault="00A1324C" w:rsidP="00470351">
      <w:pPr>
        <w:pStyle w:val="Heading2numbered"/>
        <w:ind w:hanging="1440"/>
        <w:rPr>
          <w:lang w:val="en-GB" w:eastAsia="zh-CN"/>
        </w:rPr>
      </w:pPr>
      <w:bookmarkStart w:id="59" w:name="_Toc165818643"/>
      <w:bookmarkStart w:id="60" w:name="_Toc165819993"/>
      <w:bookmarkStart w:id="61" w:name="_Toc174348972"/>
      <w:bookmarkStart w:id="62" w:name="_Toc168330215"/>
      <w:bookmarkEnd w:id="59"/>
      <w:bookmarkEnd w:id="60"/>
      <w:r w:rsidRPr="00A1324C">
        <w:rPr>
          <w:lang w:val="en-GB" w:eastAsia="zh-CN"/>
        </w:rPr>
        <w:t>A</w:t>
      </w:r>
      <w:r w:rsidR="00B23268">
        <w:rPr>
          <w:lang w:val="en-GB" w:eastAsia="zh-CN"/>
        </w:rPr>
        <w:t>pplication of an a</w:t>
      </w:r>
      <w:r w:rsidRPr="00A1324C">
        <w:rPr>
          <w:lang w:val="en-GB" w:eastAsia="zh-CN"/>
        </w:rPr>
        <w:t xml:space="preserve">verage incremental cost </w:t>
      </w:r>
      <w:r w:rsidR="00B23268">
        <w:rPr>
          <w:lang w:val="en-GB" w:eastAsia="zh-CN"/>
        </w:rPr>
        <w:t>approach</w:t>
      </w:r>
      <w:bookmarkEnd w:id="61"/>
      <w:r w:rsidR="00B23268">
        <w:rPr>
          <w:lang w:val="en-GB" w:eastAsia="zh-CN"/>
        </w:rPr>
        <w:t xml:space="preserve"> </w:t>
      </w:r>
      <w:bookmarkEnd w:id="62"/>
    </w:p>
    <w:p w14:paraId="74BA3B49" w14:textId="2C483052" w:rsidR="000372D6" w:rsidRDefault="00274987" w:rsidP="002E4D8F">
      <w:pPr>
        <w:pStyle w:val="Pull-out"/>
      </w:pPr>
      <w:bookmarkStart w:id="63" w:name="_Toc480988882"/>
      <w:bookmarkStart w:id="64" w:name="_Toc481138193"/>
      <w:bookmarkStart w:id="65" w:name="_Toc481138401"/>
      <w:r>
        <w:t xml:space="preserve">Under our current framework, </w:t>
      </w:r>
      <w:r w:rsidR="00FB7FBB">
        <w:t>new</w:t>
      </w:r>
      <w:r w:rsidR="000B579D">
        <w:t xml:space="preserve"> customer contributions</w:t>
      </w:r>
      <w:r w:rsidR="000372D6">
        <w:t xml:space="preserve"> </w:t>
      </w:r>
      <w:r w:rsidR="00A363CB">
        <w:t xml:space="preserve">have historically been </w:t>
      </w:r>
      <w:r w:rsidR="000372D6">
        <w:t xml:space="preserve">calculated based on the net incremental costs of providing infrastructure and associated activities to </w:t>
      </w:r>
      <w:r w:rsidR="000372D6">
        <w:lastRenderedPageBreak/>
        <w:t>connect</w:t>
      </w:r>
      <w:r w:rsidR="00012065">
        <w:t>ion</w:t>
      </w:r>
      <w:r w:rsidR="000372D6">
        <w:t xml:space="preserve"> applicants. We consider that specifying the use of net incremental cost of connection support</w:t>
      </w:r>
      <w:r w:rsidR="00B94CC1">
        <w:t>s</w:t>
      </w:r>
      <w:r w:rsidR="000372D6">
        <w:t xml:space="preserve"> fairness between new and existing customers and between connection applicants in different location</w:t>
      </w:r>
      <w:r w:rsidR="00D213A6">
        <w:t>s</w:t>
      </w:r>
      <w:r w:rsidR="000372D6">
        <w:t xml:space="preserve"> and at different times of connection</w:t>
      </w:r>
      <w:r w:rsidR="00DB142E">
        <w:t xml:space="preserve">. </w:t>
      </w:r>
      <w:r w:rsidR="001B4539">
        <w:t>It also accords with connection pricing regulation and practice across Australia</w:t>
      </w:r>
      <w:r w:rsidR="009D6737">
        <w:t>n</w:t>
      </w:r>
      <w:r w:rsidR="001B4539">
        <w:t xml:space="preserve"> water and energy utilities.</w:t>
      </w:r>
      <w:r w:rsidR="001B4539">
        <w:rPr>
          <w:rStyle w:val="FootnoteReference"/>
        </w:rPr>
        <w:footnoteReference w:id="44"/>
      </w:r>
      <w:r w:rsidR="001B4539">
        <w:t xml:space="preserve"> </w:t>
      </w:r>
    </w:p>
    <w:p w14:paraId="1FBE5296" w14:textId="46578144" w:rsidR="00E05CB6" w:rsidRDefault="000372D6" w:rsidP="000372D6">
      <w:r>
        <w:t>During the 2023 water price review</w:t>
      </w:r>
      <w:r w:rsidR="00972614">
        <w:t>,</w:t>
      </w:r>
      <w:r>
        <w:t xml:space="preserve"> five water businesses proposed an alternative approach to calculating </w:t>
      </w:r>
      <w:r w:rsidR="00C3167F">
        <w:t>NCCs</w:t>
      </w:r>
      <w:r w:rsidR="00972614" w:rsidRPr="00972614">
        <w:t xml:space="preserve"> </w:t>
      </w:r>
      <w:r w:rsidR="00972614">
        <w:t>based on average incremental cost</w:t>
      </w:r>
      <w:r w:rsidR="008C1690">
        <w:t xml:space="preserve">, rather than the </w:t>
      </w:r>
      <w:r w:rsidR="00E05CB6">
        <w:t xml:space="preserve">net </w:t>
      </w:r>
      <w:r w:rsidR="008C1690">
        <w:t xml:space="preserve">incremental cost approach </w:t>
      </w:r>
      <w:r w:rsidR="00A701B8">
        <w:t>adopted by our framework</w:t>
      </w:r>
      <w:r>
        <w:t>.</w:t>
      </w:r>
      <w:r w:rsidR="002E2BC4">
        <w:rPr>
          <w:rStyle w:val="FootnoteReference"/>
        </w:rPr>
        <w:footnoteReference w:id="45"/>
      </w:r>
      <w:r>
        <w:t xml:space="preserve"> </w:t>
      </w:r>
    </w:p>
    <w:p w14:paraId="75B5B74A" w14:textId="1B21C98B" w:rsidR="00B22E09" w:rsidRDefault="00A34A05" w:rsidP="008225EB">
      <w:r>
        <w:t xml:space="preserve">We noted in our 2023 review that </w:t>
      </w:r>
      <w:r w:rsidR="00CC663E">
        <w:t xml:space="preserve">the net incremental cost approach enables </w:t>
      </w:r>
      <w:r w:rsidR="0008345F">
        <w:t xml:space="preserve">water </w:t>
      </w:r>
      <w:r w:rsidR="00FB4C5F">
        <w:t xml:space="preserve">businesses </w:t>
      </w:r>
      <w:r w:rsidR="00CC663E">
        <w:t>to address</w:t>
      </w:r>
      <w:r w:rsidR="00FB2C55">
        <w:t xml:space="preserve"> issues they sought to address through using an </w:t>
      </w:r>
      <w:r w:rsidR="0023281A">
        <w:t xml:space="preserve">alternative </w:t>
      </w:r>
      <w:r w:rsidR="00FB2C55">
        <w:t>approach. This included</w:t>
      </w:r>
      <w:r w:rsidR="00795F7D">
        <w:t>:</w:t>
      </w:r>
      <w:r w:rsidR="00FB2C55">
        <w:t xml:space="preserve"> r</w:t>
      </w:r>
      <w:r w:rsidR="00CC663E">
        <w:t>isks with changes in development</w:t>
      </w:r>
      <w:r w:rsidR="00371B8B">
        <w:t>;</w:t>
      </w:r>
      <w:r w:rsidR="00CC663E">
        <w:t xml:space="preserve"> cost reflectivity and transparen</w:t>
      </w:r>
      <w:r w:rsidR="00FB2C55">
        <w:t>cy</w:t>
      </w:r>
      <w:r w:rsidR="00371B8B">
        <w:t>;</w:t>
      </w:r>
      <w:r w:rsidR="00FB2C55">
        <w:t xml:space="preserve"> and flexibility to </w:t>
      </w:r>
      <w:r w:rsidR="00CC663E">
        <w:t>negotiate different charges for different developments or growth areas.</w:t>
      </w:r>
      <w:r w:rsidR="008225EB">
        <w:t xml:space="preserve"> </w:t>
      </w:r>
    </w:p>
    <w:p w14:paraId="1FD5E9FE" w14:textId="597EEC17" w:rsidR="00DC18A8" w:rsidRDefault="00D765DD" w:rsidP="008225EB">
      <w:r>
        <w:t>We consider t</w:t>
      </w:r>
      <w:r w:rsidR="008225EB">
        <w:t xml:space="preserve">he businesses did not </w:t>
      </w:r>
      <w:r w:rsidR="00DC18A8">
        <w:t xml:space="preserve">demonstrate </w:t>
      </w:r>
      <w:r w:rsidR="008225EB">
        <w:t>they h</w:t>
      </w:r>
      <w:r w:rsidR="00DC18A8">
        <w:t>ad used the discretion afforded them within the existing principle</w:t>
      </w:r>
      <w:r w:rsidR="00E17E4E">
        <w:t>s</w:t>
      </w:r>
      <w:r w:rsidR="00DC18A8">
        <w:t>-based charging framework to address their concerns with it</w:t>
      </w:r>
      <w:r w:rsidR="005D6F0E">
        <w:t xml:space="preserve">. </w:t>
      </w:r>
      <w:r w:rsidR="00911D95">
        <w:t xml:space="preserve">Nor do we </w:t>
      </w:r>
      <w:r w:rsidR="002D332E">
        <w:t>consider it has been demonstrated to be a better approach than the net incremental costs and how it works within the overall framework administered by the commission.</w:t>
      </w:r>
    </w:p>
    <w:p w14:paraId="12FAF3D5" w14:textId="68A5B663" w:rsidR="00C478D5" w:rsidRDefault="00DA2D3C" w:rsidP="007530AC">
      <w:r>
        <w:t xml:space="preserve">However, </w:t>
      </w:r>
      <w:r w:rsidR="008C7809">
        <w:t>a key</w:t>
      </w:r>
      <w:r w:rsidR="007530AC">
        <w:t xml:space="preserve"> issue at the draft decisions stage was that businesses using the alternative methodology</w:t>
      </w:r>
      <w:r w:rsidR="005A0FDC">
        <w:t xml:space="preserve"> had not provided us with adequate information or justification to enable us to be satisfied proposal</w:t>
      </w:r>
      <w:r w:rsidR="007530AC">
        <w:t>s</w:t>
      </w:r>
      <w:r w:rsidR="005A0FDC">
        <w:t xml:space="preserve"> compl</w:t>
      </w:r>
      <w:r w:rsidR="007530AC">
        <w:t>y</w:t>
      </w:r>
      <w:r w:rsidR="005A0FDC">
        <w:t xml:space="preserve"> with our guidance requirements</w:t>
      </w:r>
      <w:r w:rsidR="007530AC">
        <w:t xml:space="preserve">. Additional information </w:t>
      </w:r>
      <w:r w:rsidR="00AE7BE7">
        <w:t>provided by businesses</w:t>
      </w:r>
      <w:r w:rsidR="007530AC">
        <w:t xml:space="preserve"> following our draft decision </w:t>
      </w:r>
      <w:r>
        <w:t>informed</w:t>
      </w:r>
      <w:r w:rsidR="00DC3F74">
        <w:t xml:space="preserve"> our final decision</w:t>
      </w:r>
      <w:r w:rsidR="00905A2A">
        <w:t xml:space="preserve"> and ultimately</w:t>
      </w:r>
      <w:r w:rsidR="00FF2FEC">
        <w:t>,</w:t>
      </w:r>
      <w:r w:rsidR="00905A2A">
        <w:t xml:space="preserve"> we approved the proposals </w:t>
      </w:r>
      <w:r w:rsidR="005F3490">
        <w:t>where</w:t>
      </w:r>
      <w:r w:rsidR="00C478D5">
        <w:t xml:space="preserve"> we consider</w:t>
      </w:r>
      <w:r w:rsidR="00BA4FF8">
        <w:t>ed</w:t>
      </w:r>
      <w:r w:rsidR="00C478D5">
        <w:t xml:space="preserve"> </w:t>
      </w:r>
      <w:r w:rsidR="005F3490">
        <w:t xml:space="preserve">they had </w:t>
      </w:r>
      <w:r w:rsidR="00C478D5">
        <w:t xml:space="preserve">sufficiently addressed the aims of the </w:t>
      </w:r>
      <w:r w:rsidR="000F494B">
        <w:t>new customer contributions</w:t>
      </w:r>
      <w:r w:rsidR="00C478D5">
        <w:t xml:space="preserve"> framework.</w:t>
      </w:r>
    </w:p>
    <w:p w14:paraId="48DF7C25" w14:textId="15ED7B4C" w:rsidR="001C7B94" w:rsidRDefault="00FF463E" w:rsidP="000372D6">
      <w:r>
        <w:t>Stakeholders may wish to comment on alternatives to the net incremental cost approach</w:t>
      </w:r>
      <w:r w:rsidR="006D2FFE">
        <w:t>.</w:t>
      </w:r>
    </w:p>
    <w:p w14:paraId="708B95A0" w14:textId="070DD26B" w:rsidR="00366F16" w:rsidRDefault="004A6105" w:rsidP="00470351">
      <w:pPr>
        <w:pStyle w:val="Heading2numbered"/>
        <w:ind w:hanging="1440"/>
      </w:pPr>
      <w:bookmarkStart w:id="66" w:name="_Toc161067626"/>
      <w:bookmarkStart w:id="67" w:name="_Toc168330216"/>
      <w:bookmarkStart w:id="68" w:name="_Toc174348973"/>
      <w:bookmarkStart w:id="69" w:name="_Hlk160105023"/>
      <w:r>
        <w:t>Uncertainty around g</w:t>
      </w:r>
      <w:r w:rsidR="00366F16">
        <w:t>ifted or reticulated assets</w:t>
      </w:r>
      <w:bookmarkEnd w:id="66"/>
      <w:bookmarkEnd w:id="67"/>
      <w:bookmarkEnd w:id="68"/>
      <w:r w:rsidR="00366F16">
        <w:t xml:space="preserve"> </w:t>
      </w:r>
    </w:p>
    <w:bookmarkEnd w:id="69"/>
    <w:p w14:paraId="7E9128E5" w14:textId="72FD2FB8" w:rsidR="00E16B67" w:rsidRPr="00E16B67" w:rsidRDefault="007861FC" w:rsidP="00E16B67">
      <w:pPr>
        <w:pStyle w:val="Pull-out"/>
        <w:pBdr>
          <w:bottom w:val="single" w:sz="48" w:space="0" w:color="B2CFDC" w:themeColor="text2" w:themeTint="66"/>
        </w:pBdr>
      </w:pPr>
      <w:r>
        <w:t xml:space="preserve">Connection assets can be gifted by the developer to the </w:t>
      </w:r>
      <w:r w:rsidR="00E8442D">
        <w:t xml:space="preserve">water businesses, lowering overall connection charges. </w:t>
      </w:r>
    </w:p>
    <w:p w14:paraId="3F46BD42" w14:textId="62232DFE" w:rsidR="00366F16" w:rsidRDefault="00366F16" w:rsidP="00366F16">
      <w:r>
        <w:t xml:space="preserve">Water businesses have the discretion to determine which assets are to be gifted (provided their actions are fair and reasonable), and to characterise the gifting as a condition of connection to the </w:t>
      </w:r>
      <w:r>
        <w:lastRenderedPageBreak/>
        <w:t xml:space="preserve">water </w:t>
      </w:r>
      <w:r w:rsidR="00D909A1">
        <w:t>business’</w:t>
      </w:r>
      <w:r>
        <w:t xml:space="preserve"> </w:t>
      </w:r>
      <w:r w:rsidR="00435A1F">
        <w:t>infrastructure</w:t>
      </w:r>
      <w:r>
        <w:t xml:space="preserve">. </w:t>
      </w:r>
      <w:r w:rsidR="00CA1942">
        <w:t>We s</w:t>
      </w:r>
      <w:r>
        <w:t xml:space="preserve">et out in our 2013 water price review final decision and our new customer contributions </w:t>
      </w:r>
      <w:r w:rsidR="006D36B7">
        <w:t>(</w:t>
      </w:r>
      <w:r w:rsidR="00A320F4">
        <w:t>N</w:t>
      </w:r>
      <w:r w:rsidR="00090120">
        <w:t>CC</w:t>
      </w:r>
      <w:r w:rsidR="006D36B7">
        <w:t xml:space="preserve">) </w:t>
      </w:r>
      <w:r>
        <w:t xml:space="preserve">– explanatory notes, </w:t>
      </w:r>
      <w:r w:rsidR="00CA1942">
        <w:t xml:space="preserve">that </w:t>
      </w:r>
      <w:r>
        <w:t>water businesses</w:t>
      </w:r>
      <w:r w:rsidR="00435A1F">
        <w:t xml:space="preserve"> should</w:t>
      </w:r>
      <w:r>
        <w:t>:</w:t>
      </w:r>
    </w:p>
    <w:p w14:paraId="17D773A0" w14:textId="03C65640" w:rsidR="00366F16" w:rsidRPr="006E3C7A" w:rsidRDefault="00366F16" w:rsidP="000A7423">
      <w:pPr>
        <w:pStyle w:val="ListBullet"/>
        <w:numPr>
          <w:ilvl w:val="0"/>
          <w:numId w:val="25"/>
        </w:numPr>
      </w:pPr>
      <w:r w:rsidRPr="006E3C7A">
        <w:t xml:space="preserve">make clear to potential </w:t>
      </w:r>
      <w:r w:rsidR="004B4132" w:rsidRPr="006E3C7A">
        <w:t>connection applicants</w:t>
      </w:r>
      <w:r w:rsidR="004B4132" w:rsidRPr="006E3C7A" w:rsidDel="004B4132">
        <w:t xml:space="preserve"> </w:t>
      </w:r>
      <w:r w:rsidRPr="006E3C7A">
        <w:t xml:space="preserve">which assets a </w:t>
      </w:r>
      <w:r w:rsidR="004B4132" w:rsidRPr="006E3C7A">
        <w:t xml:space="preserve">connection applicant </w:t>
      </w:r>
      <w:r w:rsidRPr="006E3C7A">
        <w:t>will be responsible for providing and gifting, and which will be provided by the water business</w:t>
      </w:r>
    </w:p>
    <w:p w14:paraId="3F7B8203" w14:textId="252ED52F" w:rsidR="00366F16" w:rsidRPr="006E3C7A" w:rsidRDefault="00780145" w:rsidP="000A7423">
      <w:pPr>
        <w:pStyle w:val="ListBullet"/>
        <w:numPr>
          <w:ilvl w:val="0"/>
          <w:numId w:val="25"/>
        </w:numPr>
      </w:pPr>
      <w:r w:rsidRPr="006E3C7A">
        <w:t>c</w:t>
      </w:r>
      <w:r w:rsidR="00366F16" w:rsidRPr="006E3C7A">
        <w:t>onfirm</w:t>
      </w:r>
      <w:r w:rsidRPr="006E3C7A">
        <w:t xml:space="preserve"> </w:t>
      </w:r>
      <w:r w:rsidR="00366F16" w:rsidRPr="006E3C7A">
        <w:t xml:space="preserve">any negotiated </w:t>
      </w:r>
      <w:r w:rsidR="00501087">
        <w:t>new</w:t>
      </w:r>
      <w:r w:rsidR="000B579D">
        <w:t xml:space="preserve"> customer contributions</w:t>
      </w:r>
      <w:r w:rsidR="00366F16" w:rsidRPr="006E3C7A">
        <w:t xml:space="preserve"> will be undertaken in accordance with the water </w:t>
      </w:r>
      <w:r w:rsidR="00D909A1" w:rsidRPr="006E3C7A">
        <w:t>business’</w:t>
      </w:r>
      <w:r w:rsidR="00366F16" w:rsidRPr="006E3C7A">
        <w:t xml:space="preserve"> published negotiating framework</w:t>
      </w:r>
    </w:p>
    <w:p w14:paraId="00379279" w14:textId="523E3461" w:rsidR="00366F16" w:rsidRPr="006E3C7A" w:rsidRDefault="008D3C1D" w:rsidP="000A7423">
      <w:pPr>
        <w:pStyle w:val="ListBullet"/>
        <w:numPr>
          <w:ilvl w:val="0"/>
          <w:numId w:val="25"/>
        </w:numPr>
      </w:pPr>
      <w:r w:rsidRPr="006E3C7A">
        <w:t xml:space="preserve">exclude </w:t>
      </w:r>
      <w:r w:rsidR="00366F16" w:rsidRPr="006E3C7A">
        <w:t>the value of gifted assets for the purposes of calculating net costs</w:t>
      </w:r>
      <w:r w:rsidR="00E60D2F" w:rsidRPr="006E3C7A">
        <w:t>,</w:t>
      </w:r>
      <w:r w:rsidRPr="006E3C7A">
        <w:t xml:space="preserve"> where the connection arrangement requires assets to be gifted</w:t>
      </w:r>
      <w:r w:rsidR="00366F16" w:rsidRPr="006E3C7A">
        <w:t>.</w:t>
      </w:r>
      <w:r w:rsidR="00366F16" w:rsidRPr="00D27AD2">
        <w:rPr>
          <w:rStyle w:val="FootnoteReference"/>
        </w:rPr>
        <w:footnoteReference w:id="46"/>
      </w:r>
    </w:p>
    <w:p w14:paraId="6EFAD637" w14:textId="4759096F" w:rsidR="00366F16" w:rsidRDefault="00CA1942" w:rsidP="00366F16">
      <w:r>
        <w:t xml:space="preserve">We also stated in 2013 that </w:t>
      </w:r>
      <w:r w:rsidR="00CE3346">
        <w:t>we</w:t>
      </w:r>
      <w:r w:rsidR="00366F16">
        <w:t xml:space="preserve"> w</w:t>
      </w:r>
      <w:r w:rsidR="00CE3346">
        <w:t>ould</w:t>
      </w:r>
      <w:r w:rsidR="00366F16">
        <w:t xml:space="preserve"> monitor the gifting arrangements imposed by the water businesses and that </w:t>
      </w:r>
      <w:r w:rsidR="00A5089F">
        <w:t xml:space="preserve">if </w:t>
      </w:r>
      <w:r w:rsidR="00366F16">
        <w:t>stakeholders raise</w:t>
      </w:r>
      <w:r w:rsidR="00892011">
        <w:t>d</w:t>
      </w:r>
      <w:r w:rsidR="00366F16">
        <w:t xml:space="preserve"> concerns, </w:t>
      </w:r>
      <w:bookmarkStart w:id="70" w:name="_Hlk160104599"/>
      <w:r w:rsidR="00892011">
        <w:t>we would</w:t>
      </w:r>
      <w:r w:rsidR="00366F16">
        <w:t xml:space="preserve"> consider developing principles to guide the classification of gifted assets</w:t>
      </w:r>
      <w:bookmarkEnd w:id="70"/>
      <w:r w:rsidR="00366F16">
        <w:t>.</w:t>
      </w:r>
      <w:r w:rsidR="00366F16">
        <w:rPr>
          <w:rStyle w:val="FootnoteReference"/>
        </w:rPr>
        <w:footnoteReference w:id="47"/>
      </w:r>
    </w:p>
    <w:p w14:paraId="27F8E6E8" w14:textId="682DE857" w:rsidR="00366F16" w:rsidRDefault="00366F16" w:rsidP="00366F16">
      <w:r>
        <w:t xml:space="preserve">Since </w:t>
      </w:r>
      <w:r w:rsidRPr="003200A6">
        <w:t xml:space="preserve">2013, we </w:t>
      </w:r>
      <w:r w:rsidR="003B5B1A" w:rsidRPr="003200A6">
        <w:t xml:space="preserve">have </w:t>
      </w:r>
      <w:r w:rsidR="00435A1F" w:rsidRPr="003200A6">
        <w:t xml:space="preserve">received </w:t>
      </w:r>
      <w:r w:rsidR="00DE6F5B" w:rsidRPr="003200A6">
        <w:t>several</w:t>
      </w:r>
      <w:r w:rsidRPr="003200A6">
        <w:t xml:space="preserve"> inquiries from connection applicants about gifted or reticulated assets. The main concern seems to be lack of clarity or transparency in terms of </w:t>
      </w:r>
      <w:r w:rsidR="00E0227F" w:rsidRPr="003200A6">
        <w:t xml:space="preserve">the </w:t>
      </w:r>
      <w:r w:rsidR="0022559F" w:rsidRPr="003200A6">
        <w:t>definition of gifted or reticulated assets.</w:t>
      </w:r>
      <w:r w:rsidR="0022559F">
        <w:t xml:space="preserve"> </w:t>
      </w:r>
      <w:r w:rsidR="00BA2B70">
        <w:t>We are interested in stake</w:t>
      </w:r>
      <w:r w:rsidR="00455A25">
        <w:t xml:space="preserve">holders’ feedback on the additional information </w:t>
      </w:r>
      <w:r w:rsidR="00B81FB8">
        <w:t xml:space="preserve">needed in our </w:t>
      </w:r>
      <w:r w:rsidR="00B23F37">
        <w:t>guidance on gifted or reticulated assets.</w:t>
      </w:r>
    </w:p>
    <w:p w14:paraId="734D222F" w14:textId="741ABB58" w:rsidR="00366F16" w:rsidRDefault="00780CBD" w:rsidP="00622A28">
      <w:pPr>
        <w:pStyle w:val="Heading2numbered"/>
        <w:ind w:left="0" w:firstLine="0"/>
      </w:pPr>
      <w:bookmarkStart w:id="71" w:name="_Toc168330217"/>
      <w:bookmarkStart w:id="72" w:name="_Toc174348974"/>
      <w:bookmarkStart w:id="73" w:name="_Toc161067627"/>
      <w:r>
        <w:t>T</w:t>
      </w:r>
      <w:r w:rsidR="00366F16">
        <w:t>iming of development and development servic</w:t>
      </w:r>
      <w:r w:rsidR="002D3392">
        <w:t>ing</w:t>
      </w:r>
      <w:r w:rsidR="00366F16">
        <w:t xml:space="preserve"> plans</w:t>
      </w:r>
      <w:bookmarkEnd w:id="71"/>
      <w:bookmarkEnd w:id="72"/>
      <w:r w:rsidR="00366F16">
        <w:t xml:space="preserve">  </w:t>
      </w:r>
      <w:bookmarkEnd w:id="73"/>
    </w:p>
    <w:p w14:paraId="71255251" w14:textId="0F8835E6" w:rsidR="008364F8" w:rsidRPr="00E16B67" w:rsidRDefault="00DE050E" w:rsidP="008364F8">
      <w:pPr>
        <w:pStyle w:val="Pull-out"/>
        <w:pBdr>
          <w:bottom w:val="single" w:sz="48" w:space="0" w:color="B2CFDC" w:themeColor="text2" w:themeTint="66"/>
        </w:pBdr>
      </w:pPr>
      <w:r w:rsidRPr="003200A6">
        <w:t xml:space="preserve">We set out in </w:t>
      </w:r>
      <w:r w:rsidR="002C632E" w:rsidRPr="003200A6">
        <w:t>section 3.4 of our</w:t>
      </w:r>
      <w:r w:rsidR="009C1EF2" w:rsidRPr="003200A6">
        <w:t xml:space="preserve"> 2013</w:t>
      </w:r>
      <w:r w:rsidR="002C632E" w:rsidRPr="003200A6">
        <w:t xml:space="preserve"> </w:t>
      </w:r>
      <w:r w:rsidR="00CF1F82" w:rsidRPr="003200A6">
        <w:t>n</w:t>
      </w:r>
      <w:r w:rsidR="002C632E" w:rsidRPr="003200A6">
        <w:t>ew customer contributions</w:t>
      </w:r>
      <w:r w:rsidR="006D36B7">
        <w:t xml:space="preserve"> (</w:t>
      </w:r>
      <w:r w:rsidR="00A320F4">
        <w:t>N</w:t>
      </w:r>
      <w:r w:rsidR="00A83E14">
        <w:t>C</w:t>
      </w:r>
      <w:r w:rsidR="00C772AF">
        <w:t>Cs</w:t>
      </w:r>
      <w:r w:rsidR="00A83E14">
        <w:t>)</w:t>
      </w:r>
      <w:r w:rsidR="002C632E" w:rsidRPr="003200A6">
        <w:t xml:space="preserve"> </w:t>
      </w:r>
      <w:r w:rsidR="008F2900" w:rsidRPr="003200A6">
        <w:t>e</w:t>
      </w:r>
      <w:r w:rsidR="002C632E" w:rsidRPr="003200A6">
        <w:t>xplanatory note our views on development servicing plans</w:t>
      </w:r>
      <w:r w:rsidR="009230D7" w:rsidRPr="003200A6">
        <w:t xml:space="preserve"> (sometimes called infrastructure sequencing plan</w:t>
      </w:r>
      <w:r w:rsidR="00F73CE2" w:rsidRPr="003200A6">
        <w:t>s</w:t>
      </w:r>
      <w:r w:rsidR="009230D7" w:rsidRPr="003200A6">
        <w:t>)</w:t>
      </w:r>
      <w:r w:rsidR="002C632E" w:rsidRPr="003200A6">
        <w:t>.</w:t>
      </w:r>
    </w:p>
    <w:p w14:paraId="7F821F54" w14:textId="7507EC7E" w:rsidR="00CE2127" w:rsidRPr="003200A6" w:rsidRDefault="002C1E4E" w:rsidP="00366F16">
      <w:r w:rsidRPr="003200A6">
        <w:t xml:space="preserve">We stated that </w:t>
      </w:r>
      <w:r w:rsidR="00697B91" w:rsidRPr="003200A6">
        <w:t xml:space="preserve">while </w:t>
      </w:r>
      <w:r w:rsidRPr="003200A6">
        <w:t xml:space="preserve">these plans are not regulated instruments and are not formally approved by </w:t>
      </w:r>
      <w:r w:rsidR="00926443" w:rsidRPr="003200A6">
        <w:t>us</w:t>
      </w:r>
      <w:r w:rsidR="00697B91" w:rsidRPr="003200A6">
        <w:t>, reasonable industry practice will see water businesses prepare and publish these plans</w:t>
      </w:r>
      <w:r w:rsidRPr="003200A6">
        <w:t>.</w:t>
      </w:r>
      <w:r w:rsidR="00697B91" w:rsidRPr="003200A6">
        <w:rPr>
          <w:rStyle w:val="FootnoteReference"/>
        </w:rPr>
        <w:footnoteReference w:id="48"/>
      </w:r>
      <w:r w:rsidRPr="003200A6">
        <w:t xml:space="preserve"> </w:t>
      </w:r>
    </w:p>
    <w:p w14:paraId="414A687E" w14:textId="1AD3533F" w:rsidR="00395362" w:rsidRPr="003200A6" w:rsidRDefault="00196918" w:rsidP="00366F16">
      <w:r w:rsidRPr="003200A6">
        <w:t xml:space="preserve">We described </w:t>
      </w:r>
      <w:r w:rsidR="00A647AC" w:rsidRPr="003200A6">
        <w:t xml:space="preserve">a </w:t>
      </w:r>
      <w:r w:rsidR="00CE2127" w:rsidRPr="003200A6">
        <w:t xml:space="preserve">development servicing plan </w:t>
      </w:r>
      <w:r w:rsidR="00395362" w:rsidRPr="003200A6">
        <w:t xml:space="preserve">as </w:t>
      </w:r>
      <w:r w:rsidR="00A647AC" w:rsidRPr="003200A6">
        <w:t>a</w:t>
      </w:r>
      <w:r w:rsidR="00395362" w:rsidRPr="003200A6">
        <w:t xml:space="preserve"> publicly available plan prepared by a water business that:</w:t>
      </w:r>
    </w:p>
    <w:p w14:paraId="1B4A83A7" w14:textId="2FA5D768" w:rsidR="00395362" w:rsidRPr="003200A6" w:rsidRDefault="00882355" w:rsidP="000A7423">
      <w:pPr>
        <w:pStyle w:val="ListBullet"/>
        <w:numPr>
          <w:ilvl w:val="0"/>
          <w:numId w:val="26"/>
        </w:numPr>
      </w:pPr>
      <w:r w:rsidRPr="003200A6">
        <w:t xml:space="preserve">describes </w:t>
      </w:r>
      <w:r w:rsidR="00395362" w:rsidRPr="003200A6">
        <w:t xml:space="preserve">the water </w:t>
      </w:r>
      <w:r w:rsidR="00D909A1" w:rsidRPr="003200A6">
        <w:t>business’</w:t>
      </w:r>
      <w:r w:rsidR="00395362" w:rsidRPr="003200A6">
        <w:t xml:space="preserve"> expected timing and sequencing of developments and infrastructure provision – at a point in time</w:t>
      </w:r>
    </w:p>
    <w:p w14:paraId="31F4A099" w14:textId="24C33993" w:rsidR="00395362" w:rsidRPr="003200A6" w:rsidRDefault="00395362" w:rsidP="000A7423">
      <w:pPr>
        <w:pStyle w:val="ListBullet"/>
        <w:numPr>
          <w:ilvl w:val="0"/>
          <w:numId w:val="26"/>
        </w:numPr>
      </w:pPr>
      <w:r w:rsidRPr="003200A6">
        <w:t xml:space="preserve">can be used as a basis for deriving standard </w:t>
      </w:r>
      <w:r w:rsidR="00190700">
        <w:t>new</w:t>
      </w:r>
      <w:r w:rsidR="000B579D">
        <w:t xml:space="preserve"> customer contributions</w:t>
      </w:r>
      <w:r w:rsidRPr="003200A6">
        <w:t xml:space="preserve"> during price reviews</w:t>
      </w:r>
    </w:p>
    <w:p w14:paraId="5FD53632" w14:textId="399DEE32" w:rsidR="00395362" w:rsidRPr="003200A6" w:rsidRDefault="00395362" w:rsidP="000A7423">
      <w:pPr>
        <w:pStyle w:val="ListBullet"/>
        <w:numPr>
          <w:ilvl w:val="0"/>
          <w:numId w:val="26"/>
        </w:numPr>
      </w:pPr>
      <w:r w:rsidRPr="003200A6">
        <w:t xml:space="preserve">can be used by a water business to communicate and describe assumptions underpinning its standard </w:t>
      </w:r>
      <w:r w:rsidR="006F490F">
        <w:t>new</w:t>
      </w:r>
      <w:r w:rsidR="000B579D">
        <w:t xml:space="preserve"> customer contributions</w:t>
      </w:r>
    </w:p>
    <w:p w14:paraId="01C3B49E" w14:textId="7F7581CF" w:rsidR="0012518A" w:rsidRPr="006E3C7A" w:rsidRDefault="0012518A" w:rsidP="000A7423">
      <w:pPr>
        <w:pStyle w:val="ListBullet"/>
        <w:numPr>
          <w:ilvl w:val="0"/>
          <w:numId w:val="26"/>
        </w:numPr>
      </w:pPr>
      <w:r w:rsidRPr="003200A6">
        <w:lastRenderedPageBreak/>
        <w:t>if kept up to date, may help inform the calculation of incremental</w:t>
      </w:r>
      <w:r w:rsidRPr="006E3C7A">
        <w:t xml:space="preserve"> financing costs.</w:t>
      </w:r>
      <w:r w:rsidRPr="00DC53A7">
        <w:rPr>
          <w:rStyle w:val="FootnoteReference"/>
        </w:rPr>
        <w:footnoteReference w:id="49"/>
      </w:r>
    </w:p>
    <w:p w14:paraId="0A0F2377" w14:textId="52E723F2" w:rsidR="00250E03" w:rsidRDefault="00250E03" w:rsidP="00250E03">
      <w:r>
        <w:t xml:space="preserve">We consider that by showing the timing of a </w:t>
      </w:r>
      <w:proofErr w:type="gramStart"/>
      <w:r>
        <w:t>logically</w:t>
      </w:r>
      <w:r>
        <w:rPr>
          <w:rFonts w:ascii="Cambria Math" w:hAnsi="Cambria Math" w:cs="Cambria Math"/>
        </w:rPr>
        <w:t>‐</w:t>
      </w:r>
      <w:r>
        <w:t>sequenced</w:t>
      </w:r>
      <w:proofErr w:type="gramEnd"/>
      <w:r>
        <w:t xml:space="preserve"> expansion of a </w:t>
      </w:r>
      <w:r w:rsidR="00D909A1">
        <w:t>business’</w:t>
      </w:r>
      <w:r>
        <w:t xml:space="preserve"> water, sewerage and recycled water networks, these plans help businesses explain </w:t>
      </w:r>
      <w:r w:rsidR="00460CED">
        <w:t>new</w:t>
      </w:r>
      <w:r w:rsidR="000B579D">
        <w:t xml:space="preserve"> customer contributions</w:t>
      </w:r>
      <w:r>
        <w:t xml:space="preserve"> to </w:t>
      </w:r>
      <w:r w:rsidR="003035CD">
        <w:t>connection applicants</w:t>
      </w:r>
      <w:r>
        <w:t xml:space="preserve">, and to those involved in resolving disputes. </w:t>
      </w:r>
      <w:r w:rsidR="00C36014">
        <w:t xml:space="preserve">We also consider </w:t>
      </w:r>
      <w:r w:rsidR="00854E87">
        <w:t>it</w:t>
      </w:r>
      <w:r w:rsidR="00C36014">
        <w:t xml:space="preserve"> is best practice for any water business to consult with stakeholders and reviews its plans regularly</w:t>
      </w:r>
      <w:r w:rsidR="009F219E">
        <w:t>.</w:t>
      </w:r>
    </w:p>
    <w:p w14:paraId="392FA8F0" w14:textId="77777777" w:rsidR="003317F1" w:rsidRDefault="005344F2" w:rsidP="00366F16">
      <w:r>
        <w:t xml:space="preserve">We would like to understand </w:t>
      </w:r>
      <w:r w:rsidR="009F219E">
        <w:t xml:space="preserve">the </w:t>
      </w:r>
      <w:r>
        <w:t xml:space="preserve">issues </w:t>
      </w:r>
      <w:r w:rsidR="009F219E">
        <w:t xml:space="preserve">associated with </w:t>
      </w:r>
      <w:r w:rsidR="00CC4DF2">
        <w:t xml:space="preserve">the </w:t>
      </w:r>
      <w:r>
        <w:t>timing of development</w:t>
      </w:r>
      <w:r w:rsidR="009F219E">
        <w:t>s</w:t>
      </w:r>
      <w:r w:rsidR="00202BE3">
        <w:t xml:space="preserve"> and development servic</w:t>
      </w:r>
      <w:r w:rsidR="009F219E">
        <w:t xml:space="preserve">ing </w:t>
      </w:r>
      <w:r w:rsidR="00202BE3">
        <w:t>plans</w:t>
      </w:r>
      <w:r w:rsidR="008F63ED">
        <w:t>.</w:t>
      </w:r>
      <w:r w:rsidR="00CD58B9">
        <w:t xml:space="preserve"> </w:t>
      </w:r>
      <w:bookmarkEnd w:id="63"/>
      <w:bookmarkEnd w:id="64"/>
      <w:bookmarkEnd w:id="65"/>
    </w:p>
    <w:p w14:paraId="6884D892" w14:textId="77777777" w:rsidR="006E74B9" w:rsidRPr="006E74B9" w:rsidRDefault="006E74B9" w:rsidP="006E74B9">
      <w:pPr>
        <w:pStyle w:val="Heading2numbered"/>
        <w:ind w:left="0" w:firstLine="0"/>
      </w:pPr>
      <w:bookmarkStart w:id="75" w:name="_Toc174348975"/>
      <w:r w:rsidRPr="006E74B9">
        <w:t>Guidance for new customer contributions</w:t>
      </w:r>
      <w:bookmarkEnd w:id="75"/>
    </w:p>
    <w:p w14:paraId="59307288" w14:textId="77777777" w:rsidR="003D0C98" w:rsidRDefault="006E74B9" w:rsidP="006E74B9">
      <w:pPr>
        <w:rPr>
          <w:lang w:val="en-GB"/>
        </w:rPr>
      </w:pPr>
      <w:r w:rsidRPr="006E74B9">
        <w:t xml:space="preserve">As noted in Chapter 2, guidance issued by the commission pursuant to the Water Industry Order sets out our regulatory framework for NCCs. Accordingly, the guidance needs to </w:t>
      </w:r>
      <w:r w:rsidRPr="006E74B9">
        <w:rPr>
          <w:lang w:val="en-GB"/>
        </w:rPr>
        <w:t xml:space="preserve">capture the matters we expect water businesses to consider and provide clarity about the information they must provide us in support of their pricing proposals. </w:t>
      </w:r>
    </w:p>
    <w:p w14:paraId="6B0549B5" w14:textId="68B8F711" w:rsidR="006E74B9" w:rsidRPr="006E74B9" w:rsidRDefault="006E74B9" w:rsidP="006E74B9">
      <w:pPr>
        <w:rPr>
          <w:lang w:val="en-GB"/>
        </w:rPr>
      </w:pPr>
      <w:r w:rsidRPr="006E74B9">
        <w:rPr>
          <w:lang w:val="en-GB"/>
        </w:rPr>
        <w:t xml:space="preserve">We are interested in views from stakeholders about the changes that may be needed to our guidance to support the objectives of our framework, including how it might help to address the matters identified above. </w:t>
      </w:r>
    </w:p>
    <w:p w14:paraId="49B7841E" w14:textId="77777777" w:rsidR="003D0C98" w:rsidRDefault="006E74B9" w:rsidP="006E74B9">
      <w:pPr>
        <w:rPr>
          <w:lang w:val="en-GB"/>
        </w:rPr>
      </w:pPr>
      <w:r w:rsidRPr="006E74B9">
        <w:rPr>
          <w:lang w:val="en-GB"/>
        </w:rPr>
        <w:t xml:space="preserve">As part of our review, we will also consider the form and presentation of our guidance. </w:t>
      </w:r>
    </w:p>
    <w:p w14:paraId="4BEA92E6" w14:textId="77777777" w:rsidR="008815F5" w:rsidRDefault="00E23026" w:rsidP="006E74B9">
      <w:pPr>
        <w:rPr>
          <w:lang w:val="en-GB"/>
        </w:rPr>
      </w:pPr>
      <w:r w:rsidRPr="00E23026">
        <w:rPr>
          <w:lang w:val="en-GB"/>
        </w:rPr>
        <w:t xml:space="preserve">The 2023 guidance included NCC pricing principles, assessment criteria, and requirements for the supporting information provided in submissions to inform our assessment of the NCCs proposed by water businesses. The guidance also referenced the explanatory note we issued in 2013 which provided more detail on how to comply with the pricing principles. This explanatory note formed part of the guidance. </w:t>
      </w:r>
    </w:p>
    <w:p w14:paraId="14694C27" w14:textId="72F57BE1" w:rsidR="003317F1" w:rsidRDefault="00F91B02" w:rsidP="00366F16">
      <w:pPr>
        <w:sectPr w:rsidR="003317F1" w:rsidSect="005B0C7E">
          <w:footerReference w:type="default" r:id="rId30"/>
          <w:pgSz w:w="11906" w:h="16838" w:code="9"/>
          <w:pgMar w:top="1134" w:right="1134" w:bottom="1134" w:left="1134" w:header="709" w:footer="692" w:gutter="0"/>
          <w:cols w:space="708"/>
          <w:docGrid w:linePitch="360"/>
        </w:sectPr>
      </w:pPr>
      <w:r w:rsidRPr="00F91B02">
        <w:rPr>
          <w:lang w:val="en-GB"/>
        </w:rPr>
        <w:t>Prior to the 2013 framework, we issued a greater amount of supporting information including ‘how to’ manuals and case studies for negotiated outcomes. T</w:t>
      </w:r>
      <w:proofErr w:type="spellStart"/>
      <w:r w:rsidRPr="00F91B02">
        <w:t>hese</w:t>
      </w:r>
      <w:proofErr w:type="spellEnd"/>
      <w:r w:rsidRPr="00F91B02">
        <w:t xml:space="preserve"> legacy documents are not a part of the current </w:t>
      </w:r>
      <w:proofErr w:type="gramStart"/>
      <w:r w:rsidRPr="00F91B02">
        <w:t>framework</w:t>
      </w:r>
      <w:proofErr w:type="gramEnd"/>
      <w:r w:rsidRPr="00F91B02">
        <w:t xml:space="preserve"> but we understand some water businesses are still referring to them. It may be appropriate for us to reincorporate similar material (updated to reflect the framework that will apply from 2028) in our guidance to assist in calculating NCCs</w:t>
      </w:r>
      <w:r w:rsidR="006E74B9" w:rsidRPr="006E74B9">
        <w:t>.</w:t>
      </w:r>
    </w:p>
    <w:p w14:paraId="7CA39994" w14:textId="5714CC5F" w:rsidR="0080200E" w:rsidRDefault="006B1916" w:rsidP="003317F1">
      <w:pPr>
        <w:pStyle w:val="Heading1"/>
        <w:pageBreakBefore w:val="0"/>
      </w:pPr>
      <w:bookmarkStart w:id="76" w:name="_Toc174348976"/>
      <w:bookmarkStart w:id="77" w:name="_Toc480988886"/>
      <w:bookmarkStart w:id="78" w:name="_Toc481138197"/>
      <w:bookmarkStart w:id="79" w:name="_Toc481138405"/>
      <w:r>
        <w:lastRenderedPageBreak/>
        <w:t>Appendix A - Technical concepts</w:t>
      </w:r>
      <w:bookmarkEnd w:id="76"/>
    </w:p>
    <w:p w14:paraId="052E01C6" w14:textId="15B75007" w:rsidR="00F43520" w:rsidRDefault="00DB210E" w:rsidP="00B20A9D">
      <w:pPr>
        <w:pStyle w:val="Heading2"/>
      </w:pPr>
      <w:bookmarkStart w:id="80" w:name="_Toc168330221"/>
      <w:bookmarkStart w:id="81" w:name="_Toc173487086"/>
      <w:bookmarkStart w:id="82" w:name="_Toc174348977"/>
      <w:r>
        <w:t>A.1</w:t>
      </w:r>
      <w:r>
        <w:tab/>
      </w:r>
      <w:bookmarkStart w:id="83" w:name="_Toc165561606"/>
      <w:bookmarkStart w:id="84" w:name="_Toc165818649"/>
      <w:bookmarkStart w:id="85" w:name="_Toc165819999"/>
      <w:bookmarkStart w:id="86" w:name="_Toc164094420"/>
      <w:r w:rsidR="00F43520">
        <w:t xml:space="preserve">Purpose and structure of </w:t>
      </w:r>
      <w:r w:rsidR="001B2FCA">
        <w:t>Appendix A</w:t>
      </w:r>
      <w:bookmarkEnd w:id="80"/>
      <w:bookmarkEnd w:id="81"/>
      <w:bookmarkEnd w:id="83"/>
      <w:bookmarkEnd w:id="84"/>
      <w:bookmarkEnd w:id="85"/>
      <w:bookmarkEnd w:id="82"/>
      <w:r w:rsidR="001B2FCA">
        <w:t xml:space="preserve"> </w:t>
      </w:r>
      <w:bookmarkEnd w:id="86"/>
    </w:p>
    <w:p w14:paraId="5106ACBF" w14:textId="4DFEDBFE" w:rsidR="00F43520" w:rsidRDefault="00F43520" w:rsidP="00AB1C0C">
      <w:r w:rsidRPr="00AB1C0C">
        <w:t xml:space="preserve">The purpose of </w:t>
      </w:r>
      <w:r w:rsidR="0053420C">
        <w:t xml:space="preserve">this </w:t>
      </w:r>
      <w:r w:rsidR="00BE6510">
        <w:t>Appendix A</w:t>
      </w:r>
      <w:r w:rsidRPr="00AB1C0C">
        <w:t xml:space="preserve"> is to inform water businesses and </w:t>
      </w:r>
      <w:r w:rsidR="00BF1C94">
        <w:t>connection applicants</w:t>
      </w:r>
      <w:r w:rsidR="00BF1C94" w:rsidRPr="00AB1C0C" w:rsidDel="00BF1C94">
        <w:t xml:space="preserve"> </w:t>
      </w:r>
      <w:r w:rsidRPr="00AB1C0C">
        <w:t>of:</w:t>
      </w:r>
    </w:p>
    <w:p w14:paraId="081DEE7C" w14:textId="75D96B79" w:rsidR="00AB1C0C" w:rsidRPr="00AB1C0C" w:rsidRDefault="00AB1C0C" w:rsidP="000A7423">
      <w:pPr>
        <w:pStyle w:val="ListBullet"/>
        <w:numPr>
          <w:ilvl w:val="0"/>
          <w:numId w:val="20"/>
        </w:numPr>
      </w:pPr>
      <w:r w:rsidRPr="00AB1C0C">
        <w:t xml:space="preserve">the role and consequences of </w:t>
      </w:r>
      <w:r w:rsidR="00444C14">
        <w:t>new</w:t>
      </w:r>
      <w:r w:rsidR="000B579D">
        <w:t xml:space="preserve"> customer contributions</w:t>
      </w:r>
      <w:r w:rsidRPr="00AB1C0C">
        <w:t xml:space="preserve"> within the building block regulatory cost recovery model that applies to Victorian water businesses</w:t>
      </w:r>
      <w:r w:rsidR="00830733">
        <w:t xml:space="preserve"> (</w:t>
      </w:r>
      <w:r w:rsidR="00A9524D">
        <w:t>S</w:t>
      </w:r>
      <w:r w:rsidR="00830733">
        <w:t>ection A.2)</w:t>
      </w:r>
    </w:p>
    <w:p w14:paraId="7F52CF61" w14:textId="17C2A16A" w:rsidR="00AB1C0C" w:rsidRPr="00AB1C0C" w:rsidRDefault="00AB1C0C" w:rsidP="000A7423">
      <w:pPr>
        <w:pStyle w:val="ListBullet"/>
        <w:numPr>
          <w:ilvl w:val="0"/>
          <w:numId w:val="20"/>
        </w:numPr>
      </w:pPr>
      <w:r w:rsidRPr="00AB1C0C">
        <w:t xml:space="preserve">concepts and principles for how </w:t>
      </w:r>
      <w:r w:rsidR="00444C14">
        <w:t>new</w:t>
      </w:r>
      <w:r w:rsidR="000B579D">
        <w:t xml:space="preserve"> customer contributions</w:t>
      </w:r>
      <w:r w:rsidRPr="00AB1C0C">
        <w:t xml:space="preserve"> are regulated and administered</w:t>
      </w:r>
      <w:r w:rsidR="001B2FCA">
        <w:t xml:space="preserve"> </w:t>
      </w:r>
      <w:r w:rsidRPr="00AB1C0C">
        <w:t>and trade-offs bet</w:t>
      </w:r>
      <w:r w:rsidR="00217A5B">
        <w:t xml:space="preserve">ween </w:t>
      </w:r>
      <w:r w:rsidR="00995D5F">
        <w:t xml:space="preserve">the </w:t>
      </w:r>
      <w:r w:rsidR="00217A5B">
        <w:t xml:space="preserve">principles when transitioning to </w:t>
      </w:r>
      <w:r w:rsidR="000D1F26">
        <w:t xml:space="preserve">cost </w:t>
      </w:r>
      <w:r w:rsidR="00EA28F0">
        <w:t xml:space="preserve">recovery </w:t>
      </w:r>
      <w:r w:rsidR="00FF006C">
        <w:t>charges</w:t>
      </w:r>
      <w:r w:rsidR="009957EA">
        <w:t xml:space="preserve"> (</w:t>
      </w:r>
      <w:r w:rsidR="00A9524D">
        <w:t xml:space="preserve">Section </w:t>
      </w:r>
      <w:r w:rsidR="006729C1">
        <w:t>A.3</w:t>
      </w:r>
      <w:r w:rsidR="00815F09">
        <w:t xml:space="preserve"> </w:t>
      </w:r>
      <w:r w:rsidR="00BA7A94">
        <w:t>and Section A.4)</w:t>
      </w:r>
    </w:p>
    <w:p w14:paraId="26EAAF41" w14:textId="19BB7152" w:rsidR="00AB1C0C" w:rsidRPr="005805A7" w:rsidRDefault="00AB1C0C" w:rsidP="000A7423">
      <w:pPr>
        <w:pStyle w:val="ListBullet"/>
        <w:numPr>
          <w:ilvl w:val="0"/>
          <w:numId w:val="20"/>
        </w:numPr>
      </w:pPr>
      <w:r w:rsidRPr="005805A7">
        <w:t xml:space="preserve">the requirements and intent of Victoria’s </w:t>
      </w:r>
      <w:r w:rsidR="00CD414E">
        <w:t>water policy conten</w:t>
      </w:r>
      <w:r w:rsidR="009B2C8F">
        <w:t xml:space="preserve">t for </w:t>
      </w:r>
      <w:r w:rsidR="00444C14">
        <w:t>new</w:t>
      </w:r>
      <w:r w:rsidR="000B579D">
        <w:t xml:space="preserve"> customer contributions</w:t>
      </w:r>
      <w:r w:rsidRPr="005805A7">
        <w:t xml:space="preserve"> regulatory framework</w:t>
      </w:r>
      <w:r w:rsidR="00507ABA">
        <w:t xml:space="preserve"> </w:t>
      </w:r>
      <w:r w:rsidR="00686C48">
        <w:t>(Section A.5)</w:t>
      </w:r>
    </w:p>
    <w:p w14:paraId="14522390" w14:textId="44884611" w:rsidR="00F43520" w:rsidRPr="005805A7" w:rsidRDefault="00F43520" w:rsidP="000A7423">
      <w:pPr>
        <w:pStyle w:val="ListBullet"/>
        <w:numPr>
          <w:ilvl w:val="0"/>
          <w:numId w:val="20"/>
        </w:numPr>
      </w:pPr>
      <w:r w:rsidRPr="005805A7">
        <w:t xml:space="preserve">the commission’s </w:t>
      </w:r>
      <w:r w:rsidR="004E04C4">
        <w:t>2023</w:t>
      </w:r>
      <w:r w:rsidRPr="005805A7">
        <w:t xml:space="preserve"> guidance </w:t>
      </w:r>
      <w:r w:rsidR="009414F3">
        <w:t>(Section A.6)</w:t>
      </w:r>
    </w:p>
    <w:p w14:paraId="2E2B01B6" w14:textId="4CCD900D" w:rsidR="00F43520" w:rsidRPr="005805A7" w:rsidRDefault="00F43520" w:rsidP="000A7423">
      <w:pPr>
        <w:pStyle w:val="ListBullet"/>
        <w:numPr>
          <w:ilvl w:val="0"/>
          <w:numId w:val="20"/>
        </w:numPr>
      </w:pPr>
      <w:r w:rsidRPr="005805A7">
        <w:t>the discretion water business</w:t>
      </w:r>
      <w:r w:rsidR="002D52AB">
        <w:t>es</w:t>
      </w:r>
      <w:r w:rsidRPr="005805A7">
        <w:t xml:space="preserve"> have when setting and administering </w:t>
      </w:r>
      <w:r w:rsidR="00444C14">
        <w:t>new</w:t>
      </w:r>
      <w:r w:rsidR="000B579D">
        <w:t xml:space="preserve"> customer contributions</w:t>
      </w:r>
      <w:r w:rsidR="009414F3">
        <w:t xml:space="preserve"> (Section A.</w:t>
      </w:r>
      <w:r w:rsidR="00D94A38">
        <w:t>6</w:t>
      </w:r>
      <w:r w:rsidR="009414F3">
        <w:t>)</w:t>
      </w:r>
    </w:p>
    <w:p w14:paraId="42E21901" w14:textId="40264376" w:rsidR="00AB1C0C" w:rsidRPr="00AB1C0C" w:rsidRDefault="00DB210E" w:rsidP="00F519AB">
      <w:pPr>
        <w:pStyle w:val="Heading2"/>
      </w:pPr>
      <w:bookmarkStart w:id="87" w:name="_Toc168330222"/>
      <w:bookmarkStart w:id="88" w:name="_Toc173487087"/>
      <w:bookmarkStart w:id="89" w:name="_Toc174348978"/>
      <w:r>
        <w:t>A.2</w:t>
      </w:r>
      <w:bookmarkEnd w:id="87"/>
      <w:r>
        <w:tab/>
      </w:r>
      <w:bookmarkStart w:id="90" w:name="_Toc168330223"/>
      <w:bookmarkStart w:id="91" w:name="_Toc165561607"/>
      <w:bookmarkStart w:id="92" w:name="_Toc165818650"/>
      <w:bookmarkStart w:id="93" w:name="_Toc165820000"/>
      <w:r w:rsidR="00F43520" w:rsidRPr="005805A7">
        <w:t xml:space="preserve">Key </w:t>
      </w:r>
      <w:r w:rsidR="00A55CDC">
        <w:t>functions</w:t>
      </w:r>
      <w:bookmarkEnd w:id="90"/>
      <w:r w:rsidR="00F519AB">
        <w:t xml:space="preserve"> </w:t>
      </w:r>
      <w:bookmarkStart w:id="94" w:name="_Toc164094422"/>
      <w:bookmarkStart w:id="95" w:name="_Toc165561608"/>
      <w:bookmarkStart w:id="96" w:name="_Toc165818651"/>
      <w:bookmarkStart w:id="97" w:name="_Toc165820001"/>
      <w:bookmarkStart w:id="98" w:name="_Toc168330224"/>
      <w:bookmarkEnd w:id="91"/>
      <w:bookmarkEnd w:id="92"/>
      <w:bookmarkEnd w:id="93"/>
      <w:r w:rsidR="00AB1C0C" w:rsidRPr="00AB1C0C">
        <w:t xml:space="preserve">of </w:t>
      </w:r>
      <w:r w:rsidR="002701F2">
        <w:t>new</w:t>
      </w:r>
      <w:r w:rsidR="000B579D">
        <w:t xml:space="preserve"> customer contributions</w:t>
      </w:r>
      <w:r w:rsidR="004D497D" w:rsidRPr="00AB1C0C">
        <w:t xml:space="preserve"> </w:t>
      </w:r>
      <w:r w:rsidR="00AB1C0C" w:rsidRPr="00AB1C0C">
        <w:t>regulation</w:t>
      </w:r>
      <w:bookmarkEnd w:id="88"/>
      <w:bookmarkEnd w:id="94"/>
      <w:bookmarkEnd w:id="95"/>
      <w:bookmarkEnd w:id="96"/>
      <w:bookmarkEnd w:id="97"/>
      <w:bookmarkEnd w:id="98"/>
      <w:bookmarkEnd w:id="89"/>
    </w:p>
    <w:p w14:paraId="4D8BCFF6" w14:textId="56D8E351" w:rsidR="0071391F" w:rsidRPr="0071391F" w:rsidRDefault="00085DD6" w:rsidP="0071391F">
      <w:r>
        <w:t xml:space="preserve">Charging </w:t>
      </w:r>
      <w:r w:rsidR="00FE027C">
        <w:t>new</w:t>
      </w:r>
      <w:r w:rsidR="000B579D">
        <w:t xml:space="preserve"> customer contributions</w:t>
      </w:r>
      <w:r>
        <w:t xml:space="preserve"> has both a cost recovery role and a </w:t>
      </w:r>
      <w:r w:rsidR="001945D8">
        <w:t>customer protection role.</w:t>
      </w:r>
    </w:p>
    <w:p w14:paraId="76E607CA" w14:textId="6D4E56C8" w:rsidR="00AB1C0C" w:rsidRPr="00AB1C0C" w:rsidRDefault="00430ECC" w:rsidP="00F519AB">
      <w:pPr>
        <w:pStyle w:val="Heading3"/>
      </w:pPr>
      <w:bookmarkStart w:id="99" w:name="_Toc164094424"/>
      <w:bookmarkStart w:id="100" w:name="_Toc168330225"/>
      <w:bookmarkStart w:id="101" w:name="_Toc171596137"/>
      <w:bookmarkStart w:id="102" w:name="_Toc172017183"/>
      <w:bookmarkStart w:id="103" w:name="_Toc172902625"/>
      <w:bookmarkStart w:id="104" w:name="_Toc173487088"/>
      <w:bookmarkStart w:id="105" w:name="_Toc173844781"/>
      <w:bookmarkStart w:id="106" w:name="_Toc174348979"/>
      <w:r>
        <w:t>A.2.1</w:t>
      </w:r>
      <w:r>
        <w:tab/>
      </w:r>
      <w:r w:rsidR="00AB1C0C" w:rsidRPr="00AB1C0C">
        <w:t>Cost recovery</w:t>
      </w:r>
      <w:bookmarkEnd w:id="99"/>
      <w:bookmarkEnd w:id="100"/>
      <w:bookmarkEnd w:id="101"/>
      <w:bookmarkEnd w:id="102"/>
      <w:bookmarkEnd w:id="103"/>
      <w:bookmarkEnd w:id="104"/>
      <w:bookmarkEnd w:id="105"/>
      <w:bookmarkEnd w:id="106"/>
    </w:p>
    <w:p w14:paraId="71C5B4B6" w14:textId="57A17056" w:rsidR="00F43520" w:rsidRDefault="00F43520" w:rsidP="00AB1C0C">
      <w:r>
        <w:t xml:space="preserve">The cost recovery </w:t>
      </w:r>
      <w:r w:rsidR="00AB1C0C" w:rsidRPr="00AB1C0C">
        <w:t>role</w:t>
      </w:r>
      <w:r>
        <w:t xml:space="preserve"> of charging </w:t>
      </w:r>
      <w:r w:rsidR="00FE027C">
        <w:t>new</w:t>
      </w:r>
      <w:r w:rsidR="000B579D">
        <w:t xml:space="preserve"> customer contributions</w:t>
      </w:r>
      <w:r w:rsidRPr="00AB1C0C">
        <w:t xml:space="preserve"> </w:t>
      </w:r>
      <w:r>
        <w:t>in building block regulation is to:</w:t>
      </w:r>
    </w:p>
    <w:p w14:paraId="48B28C59" w14:textId="6F87DA45" w:rsidR="00F43520" w:rsidRDefault="00F43520" w:rsidP="00F43520">
      <w:pPr>
        <w:pStyle w:val="Quote"/>
      </w:pPr>
      <w:r>
        <w:t xml:space="preserve">Establish the mechanism </w:t>
      </w:r>
      <w:r w:rsidRPr="00737193">
        <w:t xml:space="preserve">for </w:t>
      </w:r>
      <w:r>
        <w:t>s</w:t>
      </w:r>
      <w:r w:rsidRPr="00C74773">
        <w:t xml:space="preserve">haring </w:t>
      </w:r>
      <w:r w:rsidRPr="00737193">
        <w:t>connection</w:t>
      </w:r>
      <w:r>
        <w:t xml:space="preserve"> and growth</w:t>
      </w:r>
      <w:r w:rsidRPr="00737193">
        <w:t xml:space="preserve"> </w:t>
      </w:r>
      <w:r w:rsidRPr="00C74773">
        <w:t>costs across all customers</w:t>
      </w:r>
      <w:r>
        <w:t xml:space="preserve"> versus charging the connecting party</w:t>
      </w:r>
      <w:r w:rsidR="004F2095" w:rsidRPr="004F2095">
        <w:t xml:space="preserve"> </w:t>
      </w:r>
      <w:r w:rsidR="004F2095">
        <w:t>upfront</w:t>
      </w:r>
      <w:r>
        <w:t>.</w:t>
      </w:r>
    </w:p>
    <w:p w14:paraId="04BF1145" w14:textId="1260E957" w:rsidR="00F43520" w:rsidRDefault="00501087" w:rsidP="00AB1C0C">
      <w:r>
        <w:t>New</w:t>
      </w:r>
      <w:r w:rsidR="000B579D">
        <w:t xml:space="preserve"> customer contributions</w:t>
      </w:r>
      <w:r w:rsidR="00F43520" w:rsidRPr="007D7AA3">
        <w:t xml:space="preserve"> </w:t>
      </w:r>
      <w:r w:rsidR="00F43520">
        <w:t xml:space="preserve">therefore </w:t>
      </w:r>
      <w:r w:rsidR="00F43520" w:rsidRPr="007D7AA3">
        <w:t xml:space="preserve">determine how much a connecting party should pay upfront versus what will be paid through ongoing charges by the connecting party and </w:t>
      </w:r>
      <w:r w:rsidR="00F40D2A">
        <w:t xml:space="preserve">by all </w:t>
      </w:r>
      <w:r w:rsidR="007901EE">
        <w:t xml:space="preserve">water and sewerage </w:t>
      </w:r>
      <w:r w:rsidR="00F43520" w:rsidRPr="007D7AA3" w:rsidDel="007901EE">
        <w:t>customers</w:t>
      </w:r>
      <w:r w:rsidR="00F43520" w:rsidRPr="007D7AA3">
        <w:t xml:space="preserve"> via inclusion in the regulatory asset base (RAB). </w:t>
      </w:r>
    </w:p>
    <w:p w14:paraId="31063CDD" w14:textId="77777777" w:rsidR="00F43520" w:rsidRPr="00AB1C0C" w:rsidRDefault="00F43520" w:rsidP="00AB1C0C">
      <w:r w:rsidRPr="00AB1C0C">
        <w:t>This involves:</w:t>
      </w:r>
    </w:p>
    <w:p w14:paraId="5759B7FC" w14:textId="77777777" w:rsidR="00F43520" w:rsidRDefault="00F43520" w:rsidP="00B83121">
      <w:pPr>
        <w:pStyle w:val="ListBullet"/>
      </w:pPr>
      <w:r w:rsidRPr="00352720">
        <w:rPr>
          <w:b/>
        </w:rPr>
        <w:t>a</w:t>
      </w:r>
      <w:r>
        <w:t xml:space="preserve"> </w:t>
      </w:r>
      <w:r w:rsidRPr="006F3BDA">
        <w:rPr>
          <w:b/>
          <w:bCs/>
        </w:rPr>
        <w:t>cost recovery threshold</w:t>
      </w:r>
      <w:r>
        <w:t xml:space="preserve"> to set the share of costs recovered up front versus over time, and</w:t>
      </w:r>
    </w:p>
    <w:p w14:paraId="27F42640" w14:textId="77777777" w:rsidR="00F43520" w:rsidRDefault="00F43520" w:rsidP="00B83121">
      <w:pPr>
        <w:pStyle w:val="ListBullet"/>
      </w:pPr>
      <w:r w:rsidRPr="006F3BDA">
        <w:rPr>
          <w:b/>
          <w:bCs/>
        </w:rPr>
        <w:t>cost recovery mechanisms</w:t>
      </w:r>
      <w:r>
        <w:t xml:space="preserve"> to levy upfront and ongoing charges.</w:t>
      </w:r>
    </w:p>
    <w:p w14:paraId="5C6C27B6" w14:textId="4A91002E" w:rsidR="00F43520" w:rsidRPr="007D7AA3" w:rsidRDefault="00F43520" w:rsidP="00AB1C0C">
      <w:r>
        <w:t xml:space="preserve">The cost recovery threshold seeks to consider the connection application costs and account for the benefit to the connecting or augmenting property relative to the benefit to other properties receiving </w:t>
      </w:r>
      <w:r>
        <w:lastRenderedPageBreak/>
        <w:t>that service from a business.</w:t>
      </w:r>
      <w:r w:rsidRPr="00AB1C0C">
        <w:rPr>
          <w:vertAlign w:val="superscript"/>
        </w:rPr>
        <w:footnoteReference w:id="50"/>
      </w:r>
      <w:r>
        <w:t xml:space="preserve"> This protects existing customers and connection applicants from unduly subsidising each other’s costs</w:t>
      </w:r>
      <w:r w:rsidR="00ED6785">
        <w:t xml:space="preserve"> (see section A</w:t>
      </w:r>
      <w:r w:rsidR="00F655BD">
        <w:t>.</w:t>
      </w:r>
      <w:r w:rsidR="0053360C">
        <w:t>2.2)</w:t>
      </w:r>
      <w:r>
        <w:t xml:space="preserve">. </w:t>
      </w:r>
    </w:p>
    <w:p w14:paraId="3C3C4F61" w14:textId="77777777" w:rsidR="00F43520" w:rsidRDefault="00F43520" w:rsidP="00AB1C0C">
      <w:r>
        <w:t>The cost recovery mechanism works in the building block regulatory framework by:</w:t>
      </w:r>
    </w:p>
    <w:p w14:paraId="70BE030B" w14:textId="41ACDF2E" w:rsidR="00F43520" w:rsidRPr="00AB1C0C" w:rsidRDefault="002C5866" w:rsidP="000A7423">
      <w:pPr>
        <w:pStyle w:val="ListBullet"/>
        <w:numPr>
          <w:ilvl w:val="0"/>
          <w:numId w:val="21"/>
        </w:numPr>
      </w:pPr>
      <w:r>
        <w:t>l</w:t>
      </w:r>
      <w:r w:rsidR="00F43520" w:rsidRPr="00AB1C0C">
        <w:t>evying any upfront contribution</w:t>
      </w:r>
      <w:r w:rsidR="00502824">
        <w:t xml:space="preserve"> (</w:t>
      </w:r>
      <w:r w:rsidR="004431B5">
        <w:t>new</w:t>
      </w:r>
      <w:r w:rsidR="000B579D">
        <w:t xml:space="preserve"> customer contributions</w:t>
      </w:r>
      <w:r w:rsidR="00502824">
        <w:t>)</w:t>
      </w:r>
      <w:r w:rsidR="00F43520" w:rsidRPr="00AB1C0C">
        <w:t xml:space="preserve"> to the connection applicant that is not recovered through the </w:t>
      </w:r>
      <w:r w:rsidR="00AB1C0C" w:rsidRPr="00AB1C0C">
        <w:t>return on and return of assets elements of the building block revenue allowance,</w:t>
      </w:r>
      <w:r w:rsidR="00F43520" w:rsidRPr="00AB1C0C">
        <w:t xml:space="preserve"> and</w:t>
      </w:r>
    </w:p>
    <w:p w14:paraId="4487AFC9" w14:textId="771067C4" w:rsidR="00F43520" w:rsidRPr="00AB1C0C" w:rsidRDefault="002C5866" w:rsidP="000A7423">
      <w:pPr>
        <w:pStyle w:val="ListBullet"/>
        <w:numPr>
          <w:ilvl w:val="0"/>
          <w:numId w:val="21"/>
        </w:numPr>
      </w:pPr>
      <w:r>
        <w:t>a</w:t>
      </w:r>
      <w:r w:rsidR="00F43520" w:rsidRPr="00AB1C0C">
        <w:t>dding the remaining amount of connection and growth expenditure to the business’ RAB.</w:t>
      </w:r>
    </w:p>
    <w:p w14:paraId="246F965A" w14:textId="409E8164" w:rsidR="00AB1C0C" w:rsidRPr="00AB1C0C" w:rsidRDefault="00AB1C0C" w:rsidP="002B7C74">
      <w:r w:rsidRPr="00AB1C0C">
        <w:t>Whether costs are recovered upfront or via the RAB, the business recovers the same total costs in net present value (NPV) terms, after accounting for any differing tax cost consequences.</w:t>
      </w:r>
      <w:r w:rsidRPr="00AB1C0C">
        <w:rPr>
          <w:vertAlign w:val="superscript"/>
        </w:rPr>
        <w:footnoteReference w:id="51"/>
      </w:r>
    </w:p>
    <w:p w14:paraId="3139AD6F" w14:textId="78E59036" w:rsidR="00F67824" w:rsidRPr="00AB1C0C" w:rsidRDefault="00AB1C0C" w:rsidP="00D8230C">
      <w:pPr>
        <w:keepNext/>
        <w:keepLines/>
      </w:pPr>
      <w:r w:rsidRPr="00AB1C0C">
        <w:t xml:space="preserve">The gross capital expenditure for a business is added to the RAB annually and its annual </w:t>
      </w:r>
      <w:r w:rsidR="0076121C">
        <w:t>new</w:t>
      </w:r>
      <w:r w:rsidR="000B579D">
        <w:t xml:space="preserve"> customer contributions</w:t>
      </w:r>
      <w:r w:rsidRPr="00AB1C0C">
        <w:t xml:space="preserve"> amount</w:t>
      </w:r>
      <w:r w:rsidR="00145F17">
        <w:t xml:space="preserve"> i</w:t>
      </w:r>
      <w:r w:rsidRPr="00AB1C0C">
        <w:t>s deducted. This means ongoing charges only recover the net capital expenditure after accounting for up front contributions. This can be seen in the RAB formula:</w:t>
      </w:r>
    </w:p>
    <w:tbl>
      <w:tblPr>
        <w:tblStyle w:val="TableGrid"/>
        <w:tblW w:w="0" w:type="auto"/>
        <w:tblInd w:w="851" w:type="dxa"/>
        <w:tblLook w:val="04A0" w:firstRow="1" w:lastRow="0" w:firstColumn="1" w:lastColumn="0" w:noHBand="0" w:noVBand="1"/>
      </w:tblPr>
      <w:tblGrid>
        <w:gridCol w:w="709"/>
        <w:gridCol w:w="5386"/>
      </w:tblGrid>
      <w:tr w:rsidR="00861E5F" w:rsidRPr="0019398B" w14:paraId="65BC21B9" w14:textId="77777777" w:rsidTr="00D8230C">
        <w:trPr>
          <w:cnfStyle w:val="100000000000" w:firstRow="1" w:lastRow="0" w:firstColumn="0" w:lastColumn="0" w:oddVBand="0" w:evenVBand="0" w:oddHBand="0" w:evenHBand="0" w:firstRowFirstColumn="0" w:firstRowLastColumn="0" w:lastRowFirstColumn="0" w:lastRowLastColumn="0"/>
        </w:trPr>
        <w:tc>
          <w:tcPr>
            <w:tcW w:w="6095" w:type="dxa"/>
            <w:gridSpan w:val="2"/>
            <w:shd w:val="clear" w:color="auto" w:fill="E3E3E4" w:themeFill="background2" w:themeFillTint="33"/>
          </w:tcPr>
          <w:p w14:paraId="140A2F0F" w14:textId="54FDB695" w:rsidR="00861E5F" w:rsidRPr="00D8230C" w:rsidRDefault="00861E5F" w:rsidP="006013F8">
            <w:pPr>
              <w:pStyle w:val="TableBody"/>
              <w:rPr>
                <w:color w:val="auto"/>
              </w:rPr>
            </w:pPr>
            <w:r w:rsidRPr="006013F8">
              <w:rPr>
                <w:color w:val="auto"/>
              </w:rPr>
              <w:t>Opening RAB in year t = opening RAB in year t1</w:t>
            </w:r>
          </w:p>
        </w:tc>
      </w:tr>
      <w:tr w:rsidR="004019C9" w:rsidRPr="0019398B" w14:paraId="7D69BC74" w14:textId="77777777" w:rsidTr="00D8230C">
        <w:trPr>
          <w:cnfStyle w:val="000000100000" w:firstRow="0" w:lastRow="0" w:firstColumn="0" w:lastColumn="0" w:oddVBand="0" w:evenVBand="0" w:oddHBand="1" w:evenHBand="0" w:firstRowFirstColumn="0" w:firstRowLastColumn="0" w:lastRowFirstColumn="0" w:lastRowLastColumn="0"/>
        </w:trPr>
        <w:tc>
          <w:tcPr>
            <w:tcW w:w="709" w:type="dxa"/>
          </w:tcPr>
          <w:p w14:paraId="7D6696C9" w14:textId="187DE2CE" w:rsidR="004019C9" w:rsidRPr="00D8230C" w:rsidRDefault="004019C9" w:rsidP="00D8230C">
            <w:pPr>
              <w:spacing w:before="120" w:line="264" w:lineRule="auto"/>
              <w:rPr>
                <w:b/>
                <w:i/>
                <w:sz w:val="28"/>
                <w:szCs w:val="28"/>
              </w:rPr>
            </w:pPr>
            <w:r w:rsidRPr="00D8230C">
              <w:rPr>
                <w:b/>
                <w:sz w:val="28"/>
                <w:szCs w:val="28"/>
              </w:rPr>
              <w:t xml:space="preserve">+ </w:t>
            </w:r>
          </w:p>
        </w:tc>
        <w:tc>
          <w:tcPr>
            <w:tcW w:w="5386" w:type="dxa"/>
          </w:tcPr>
          <w:p w14:paraId="63B3A264" w14:textId="40ED2673" w:rsidR="004019C9" w:rsidRPr="0019398B" w:rsidRDefault="00882AFD" w:rsidP="00D8230C">
            <w:pPr>
              <w:spacing w:before="120" w:line="264" w:lineRule="auto"/>
            </w:pPr>
            <w:r w:rsidRPr="0019398B">
              <w:t xml:space="preserve">Actual capital expenditure (gross) in </w:t>
            </w:r>
            <w:r w:rsidRPr="0019398B">
              <w:rPr>
                <w:i/>
                <w:iCs/>
              </w:rPr>
              <w:t>year t</w:t>
            </w:r>
            <w:r w:rsidR="004019C9" w:rsidRPr="0019398B">
              <w:rPr>
                <w:i/>
                <w:iCs/>
              </w:rPr>
              <w:t>1</w:t>
            </w:r>
            <w:r w:rsidR="004019C9" w:rsidRPr="0019398B">
              <w:rPr>
                <w:i/>
                <w:iCs/>
                <w:vertAlign w:val="superscript"/>
              </w:rPr>
              <w:footnoteReference w:id="52"/>
            </w:r>
          </w:p>
        </w:tc>
      </w:tr>
      <w:tr w:rsidR="004019C9" w:rsidRPr="0019398B" w14:paraId="2F396570" w14:textId="77777777" w:rsidTr="00D8230C">
        <w:trPr>
          <w:cnfStyle w:val="000000010000" w:firstRow="0" w:lastRow="0" w:firstColumn="0" w:lastColumn="0" w:oddVBand="0" w:evenVBand="0" w:oddHBand="0" w:evenHBand="1" w:firstRowFirstColumn="0" w:firstRowLastColumn="0" w:lastRowFirstColumn="0" w:lastRowLastColumn="0"/>
        </w:trPr>
        <w:tc>
          <w:tcPr>
            <w:tcW w:w="709" w:type="dxa"/>
          </w:tcPr>
          <w:p w14:paraId="5C6F9E15" w14:textId="2922C2A1" w:rsidR="004019C9" w:rsidRPr="00D8230C" w:rsidRDefault="009A1CCC" w:rsidP="00D8230C">
            <w:pPr>
              <w:spacing w:before="120" w:line="264" w:lineRule="auto"/>
              <w:rPr>
                <w:b/>
                <w:i/>
                <w:sz w:val="28"/>
                <w:szCs w:val="28"/>
              </w:rPr>
            </w:pPr>
            <w:r w:rsidRPr="00D8230C">
              <w:rPr>
                <w:rFonts w:cstheme="minorHAnsi"/>
                <w:b/>
                <w:sz w:val="28"/>
                <w:szCs w:val="28"/>
              </w:rPr>
              <w:t>−</w:t>
            </w:r>
          </w:p>
        </w:tc>
        <w:tc>
          <w:tcPr>
            <w:tcW w:w="5386" w:type="dxa"/>
          </w:tcPr>
          <w:p w14:paraId="411073DB" w14:textId="3525CFE6" w:rsidR="004019C9" w:rsidRPr="0019398B" w:rsidRDefault="00882AFD" w:rsidP="00D8230C">
            <w:pPr>
              <w:spacing w:before="120" w:line="264" w:lineRule="auto"/>
            </w:pPr>
            <w:r w:rsidRPr="0019398B">
              <w:t xml:space="preserve">Actual contributions in </w:t>
            </w:r>
            <w:r w:rsidRPr="0019398B">
              <w:rPr>
                <w:i/>
                <w:iCs/>
              </w:rPr>
              <w:t>year t</w:t>
            </w:r>
            <w:r w:rsidR="004019C9" w:rsidRPr="0019398B">
              <w:rPr>
                <w:i/>
                <w:iCs/>
              </w:rPr>
              <w:t>1</w:t>
            </w:r>
            <w:r w:rsidR="004019C9" w:rsidRPr="0019398B">
              <w:rPr>
                <w:i/>
                <w:iCs/>
                <w:vertAlign w:val="superscript"/>
              </w:rPr>
              <w:footnoteReference w:id="53"/>
            </w:r>
          </w:p>
        </w:tc>
      </w:tr>
      <w:tr w:rsidR="004019C9" w:rsidRPr="0019398B" w14:paraId="7B2BF483" w14:textId="77777777" w:rsidTr="00D8230C">
        <w:trPr>
          <w:cnfStyle w:val="000000100000" w:firstRow="0" w:lastRow="0" w:firstColumn="0" w:lastColumn="0" w:oddVBand="0" w:evenVBand="0" w:oddHBand="1" w:evenHBand="0" w:firstRowFirstColumn="0" w:firstRowLastColumn="0" w:lastRowFirstColumn="0" w:lastRowLastColumn="0"/>
        </w:trPr>
        <w:tc>
          <w:tcPr>
            <w:tcW w:w="709" w:type="dxa"/>
          </w:tcPr>
          <w:p w14:paraId="47F53B1A" w14:textId="0E267A00" w:rsidR="004019C9" w:rsidRPr="00D8230C" w:rsidRDefault="009A1CCC" w:rsidP="00D8230C">
            <w:pPr>
              <w:spacing w:before="120" w:line="264" w:lineRule="auto"/>
              <w:rPr>
                <w:b/>
                <w:i/>
                <w:sz w:val="28"/>
                <w:szCs w:val="28"/>
              </w:rPr>
            </w:pPr>
            <w:r w:rsidRPr="00D8230C">
              <w:rPr>
                <w:rFonts w:cstheme="minorHAnsi"/>
                <w:b/>
                <w:sz w:val="28"/>
                <w:szCs w:val="28"/>
              </w:rPr>
              <w:t>−</w:t>
            </w:r>
            <w:r w:rsidR="004019C9" w:rsidRPr="00D8230C">
              <w:rPr>
                <w:b/>
                <w:sz w:val="28"/>
                <w:szCs w:val="28"/>
              </w:rPr>
              <w:t xml:space="preserve"> </w:t>
            </w:r>
          </w:p>
        </w:tc>
        <w:tc>
          <w:tcPr>
            <w:tcW w:w="5386" w:type="dxa"/>
          </w:tcPr>
          <w:p w14:paraId="25E91DE1" w14:textId="7BE281C6" w:rsidR="004019C9" w:rsidRPr="0019398B" w:rsidRDefault="00882AFD" w:rsidP="00D8230C">
            <w:pPr>
              <w:spacing w:before="120" w:line="264" w:lineRule="auto"/>
            </w:pPr>
            <w:r w:rsidRPr="0019398B">
              <w:t xml:space="preserve">Forecast regulatory depreciation in </w:t>
            </w:r>
            <w:r w:rsidRPr="0019398B">
              <w:rPr>
                <w:i/>
                <w:iCs/>
              </w:rPr>
              <w:t>year t</w:t>
            </w:r>
            <w:r w:rsidR="004019C9" w:rsidRPr="0019398B">
              <w:rPr>
                <w:i/>
                <w:iCs/>
              </w:rPr>
              <w:t>1</w:t>
            </w:r>
            <w:r w:rsidR="004019C9" w:rsidRPr="0019398B">
              <w:t xml:space="preserve"> </w:t>
            </w:r>
          </w:p>
        </w:tc>
      </w:tr>
      <w:tr w:rsidR="004019C9" w:rsidRPr="0019398B" w14:paraId="7F5FF939" w14:textId="77777777" w:rsidTr="00D8230C">
        <w:trPr>
          <w:cnfStyle w:val="000000010000" w:firstRow="0" w:lastRow="0" w:firstColumn="0" w:lastColumn="0" w:oddVBand="0" w:evenVBand="0" w:oddHBand="0" w:evenHBand="1" w:firstRowFirstColumn="0" w:firstRowLastColumn="0" w:lastRowFirstColumn="0" w:lastRowLastColumn="0"/>
        </w:trPr>
        <w:tc>
          <w:tcPr>
            <w:tcW w:w="709" w:type="dxa"/>
          </w:tcPr>
          <w:p w14:paraId="60503322" w14:textId="5DBECDC2" w:rsidR="004019C9" w:rsidRPr="00D8230C" w:rsidRDefault="009A1CCC" w:rsidP="00D8230C">
            <w:pPr>
              <w:spacing w:before="120" w:line="264" w:lineRule="auto"/>
              <w:rPr>
                <w:b/>
                <w:i/>
                <w:sz w:val="28"/>
                <w:szCs w:val="28"/>
              </w:rPr>
            </w:pPr>
            <w:r w:rsidRPr="00D8230C">
              <w:rPr>
                <w:rFonts w:cstheme="minorHAnsi"/>
                <w:b/>
                <w:sz w:val="28"/>
                <w:szCs w:val="28"/>
              </w:rPr>
              <w:t>−</w:t>
            </w:r>
            <w:r w:rsidR="004019C9" w:rsidRPr="00D8230C">
              <w:rPr>
                <w:b/>
                <w:sz w:val="28"/>
                <w:szCs w:val="28"/>
              </w:rPr>
              <w:t xml:space="preserve"> </w:t>
            </w:r>
          </w:p>
        </w:tc>
        <w:tc>
          <w:tcPr>
            <w:tcW w:w="5386" w:type="dxa"/>
          </w:tcPr>
          <w:p w14:paraId="7FC68EC4" w14:textId="25467ADE" w:rsidR="004019C9" w:rsidRPr="0019398B" w:rsidRDefault="00882AFD" w:rsidP="00D8230C">
            <w:pPr>
              <w:spacing w:before="120" w:line="264" w:lineRule="auto"/>
            </w:pPr>
            <w:r w:rsidRPr="0019398B">
              <w:t xml:space="preserve">Proceeds from disposal of assets in </w:t>
            </w:r>
            <w:r w:rsidRPr="0019398B">
              <w:rPr>
                <w:i/>
                <w:iCs/>
              </w:rPr>
              <w:t>year t</w:t>
            </w:r>
            <w:r w:rsidR="004019C9" w:rsidRPr="0019398B">
              <w:rPr>
                <w:i/>
                <w:iCs/>
              </w:rPr>
              <w:t>1</w:t>
            </w:r>
          </w:p>
        </w:tc>
      </w:tr>
    </w:tbl>
    <w:p w14:paraId="79D21BAF" w14:textId="77777777" w:rsidR="00F43520" w:rsidRDefault="00F43520" w:rsidP="00AB1C0C">
      <w:r>
        <w:t>This formula is administered over successive regulatory periods. It uses forecast data for future years and actual data for past years, and its purpose is to maintain an accurate record of the business’ recoverable invested capital that has not yet been paid for by its customers.</w:t>
      </w:r>
    </w:p>
    <w:p w14:paraId="0C7D057C" w14:textId="00AA333E" w:rsidR="00F43520" w:rsidRDefault="00B33230" w:rsidP="00352720">
      <w:pPr>
        <w:pStyle w:val="Heading3"/>
      </w:pPr>
      <w:bookmarkStart w:id="107" w:name="_Toc164094425"/>
      <w:bookmarkStart w:id="108" w:name="_Toc165561609"/>
      <w:bookmarkStart w:id="109" w:name="_Toc165818652"/>
      <w:bookmarkStart w:id="110" w:name="_Toc165820002"/>
      <w:bookmarkStart w:id="111" w:name="_Toc168330226"/>
      <w:bookmarkStart w:id="112" w:name="_Toc171596138"/>
      <w:bookmarkStart w:id="113" w:name="_Toc172017184"/>
      <w:bookmarkStart w:id="114" w:name="_Toc172902626"/>
      <w:bookmarkStart w:id="115" w:name="_Toc173487089"/>
      <w:bookmarkStart w:id="116" w:name="_Toc173844782"/>
      <w:bookmarkStart w:id="117" w:name="_Toc174348980"/>
      <w:r>
        <w:lastRenderedPageBreak/>
        <w:t>A.2.2</w:t>
      </w:r>
      <w:r>
        <w:tab/>
      </w:r>
      <w:r w:rsidR="00F43520">
        <w:t>Customer protection</w:t>
      </w:r>
      <w:bookmarkEnd w:id="107"/>
      <w:bookmarkEnd w:id="108"/>
      <w:bookmarkEnd w:id="109"/>
      <w:bookmarkEnd w:id="110"/>
      <w:bookmarkEnd w:id="111"/>
      <w:bookmarkEnd w:id="112"/>
      <w:bookmarkEnd w:id="113"/>
      <w:bookmarkEnd w:id="114"/>
      <w:bookmarkEnd w:id="115"/>
      <w:bookmarkEnd w:id="116"/>
      <w:bookmarkEnd w:id="117"/>
    </w:p>
    <w:p w14:paraId="334811BB" w14:textId="2E3B4301" w:rsidR="00F43520" w:rsidRDefault="00F43520" w:rsidP="00AB1C0C">
      <w:r>
        <w:t xml:space="preserve">Regulation of </w:t>
      </w:r>
      <w:r w:rsidR="00F12AE7">
        <w:t>new</w:t>
      </w:r>
      <w:r w:rsidR="000B579D">
        <w:t xml:space="preserve"> customer contributions</w:t>
      </w:r>
      <w:r>
        <w:t xml:space="preserve"> also:</w:t>
      </w:r>
    </w:p>
    <w:p w14:paraId="6EDD08CD" w14:textId="1AA32A9D" w:rsidR="00F43520" w:rsidRDefault="00F43520" w:rsidP="00B83121">
      <w:pPr>
        <w:pStyle w:val="ListBullet"/>
      </w:pPr>
      <w:r>
        <w:t xml:space="preserve">protects the interests of both existing customers and connection applicants by ensuring </w:t>
      </w:r>
      <w:r w:rsidR="00FB6E4F">
        <w:t xml:space="preserve">(via a </w:t>
      </w:r>
      <w:r w:rsidR="00FB6E4F" w:rsidRPr="00CB2ADD">
        <w:rPr>
          <w:b/>
          <w:bCs/>
        </w:rPr>
        <w:t>cost recovery threshold</w:t>
      </w:r>
      <w:r w:rsidR="00FB6E4F">
        <w:t xml:space="preserve">) that </w:t>
      </w:r>
      <w:r>
        <w:t xml:space="preserve">neither party is inefficiently subsidising the other </w:t>
      </w:r>
    </w:p>
    <w:p w14:paraId="30A78075" w14:textId="00A690E5" w:rsidR="00F43520" w:rsidRDefault="00F43520" w:rsidP="00B83121">
      <w:pPr>
        <w:pStyle w:val="ListBullet"/>
      </w:pPr>
      <w:r>
        <w:t xml:space="preserve">sends </w:t>
      </w:r>
      <w:r w:rsidRPr="00CB2ADD">
        <w:rPr>
          <w:b/>
        </w:rPr>
        <w:t xml:space="preserve">efficient cost </w:t>
      </w:r>
      <w:r w:rsidR="00A56946" w:rsidRPr="00CB2ADD">
        <w:rPr>
          <w:b/>
          <w:bCs/>
        </w:rPr>
        <w:t>and</w:t>
      </w:r>
      <w:r w:rsidR="00462A61" w:rsidRPr="00CB2ADD">
        <w:rPr>
          <w:b/>
          <w:bCs/>
        </w:rPr>
        <w:t xml:space="preserve"> price </w:t>
      </w:r>
      <w:r w:rsidRPr="00CB2ADD">
        <w:rPr>
          <w:b/>
        </w:rPr>
        <w:t>signals</w:t>
      </w:r>
      <w:r>
        <w:t xml:space="preserve"> </w:t>
      </w:r>
      <w:r w:rsidRPr="001F0219">
        <w:t xml:space="preserve">to </w:t>
      </w:r>
      <w:r>
        <w:t xml:space="preserve">connection applicants to </w:t>
      </w:r>
      <w:r w:rsidRPr="001F0219">
        <w:t xml:space="preserve">ensure the </w:t>
      </w:r>
      <w:r w:rsidR="006669D5">
        <w:t xml:space="preserve">water </w:t>
      </w:r>
      <w:r w:rsidRPr="001F0219">
        <w:t>businesses incur efficient costs</w:t>
      </w:r>
      <w:r>
        <w:t xml:space="preserve"> because customers cho</w:t>
      </w:r>
      <w:r w:rsidR="00951914">
        <w:t>o</w:t>
      </w:r>
      <w:r>
        <w:t>se to connect in the locations and at the service capacity scales that they value</w:t>
      </w:r>
      <w:r w:rsidR="00F732E8">
        <w:t>,</w:t>
      </w:r>
      <w:r>
        <w:t xml:space="preserve"> having regard to the costs of servicing those locations and service capacity scales</w:t>
      </w:r>
    </w:p>
    <w:p w14:paraId="24F7D635" w14:textId="346DE334" w:rsidR="00AB1C0C" w:rsidRPr="00AB1C0C" w:rsidRDefault="00AB1C0C" w:rsidP="00B83121">
      <w:pPr>
        <w:pStyle w:val="ListBullet"/>
      </w:pPr>
      <w:r w:rsidRPr="00AB1C0C">
        <w:t xml:space="preserve">promotes </w:t>
      </w:r>
      <w:r w:rsidR="00120B16" w:rsidRPr="00CB2ADD">
        <w:rPr>
          <w:bCs/>
        </w:rPr>
        <w:t xml:space="preserve">fair and reasonable </w:t>
      </w:r>
      <w:r w:rsidRPr="00CB2ADD">
        <w:t>connection processes</w:t>
      </w:r>
      <w:r w:rsidRPr="00AB1C0C">
        <w:t xml:space="preserve"> and </w:t>
      </w:r>
      <w:r w:rsidR="00942EAB" w:rsidRPr="00AB1C0C">
        <w:t>outcomes.</w:t>
      </w:r>
    </w:p>
    <w:p w14:paraId="6E53E3EF" w14:textId="77777777" w:rsidR="000335A0" w:rsidRPr="00664FC4" w:rsidRDefault="00F43520" w:rsidP="004644B2">
      <w:pPr>
        <w:pStyle w:val="Heading4"/>
        <w:rPr>
          <w:color w:val="57595C" w:themeColor="background2" w:themeShade="BF"/>
        </w:rPr>
      </w:pPr>
      <w:r w:rsidRPr="00664FC4">
        <w:rPr>
          <w:color w:val="57595C" w:themeColor="background2" w:themeShade="BF"/>
        </w:rPr>
        <w:t>Cost recovery threshold</w:t>
      </w:r>
    </w:p>
    <w:p w14:paraId="52E17097" w14:textId="4AD6BB20" w:rsidR="00F43520" w:rsidRDefault="00F43520" w:rsidP="00640CEC">
      <w:r>
        <w:t>The cost recovery threshold ensures that:</w:t>
      </w:r>
    </w:p>
    <w:p w14:paraId="2DA939AE" w14:textId="20CD694E" w:rsidR="00F43520" w:rsidRDefault="00F43520" w:rsidP="00B83121">
      <w:pPr>
        <w:pStyle w:val="ListBullet"/>
      </w:pPr>
      <w:r>
        <w:t xml:space="preserve">existing customers who are paying for a business’ RAB via ongoing usage charges are no worse off </w:t>
      </w:r>
      <w:r w:rsidR="008F0CF9">
        <w:t>because</w:t>
      </w:r>
      <w:r>
        <w:t xml:space="preserve"> of the new or amended connection than they would have been if the connection or augmentation had not occurred</w:t>
      </w:r>
    </w:p>
    <w:p w14:paraId="5016A678" w14:textId="77777777" w:rsidR="00F43520" w:rsidRDefault="00F43520" w:rsidP="00B83121">
      <w:pPr>
        <w:pStyle w:val="ListBullet"/>
      </w:pPr>
      <w:r>
        <w:t>the connection applicant only funds the residual connection/growth/augmentation costs that will not otherwise be paid for through its ongoing payment of the business’ usage charges.</w:t>
      </w:r>
    </w:p>
    <w:p w14:paraId="3ABD4BA0" w14:textId="0E3988E0" w:rsidR="00CB2ADD" w:rsidRPr="00664FC4" w:rsidRDefault="00F43520" w:rsidP="00775B4A">
      <w:pPr>
        <w:pStyle w:val="Heading4"/>
        <w:rPr>
          <w:color w:val="57595C" w:themeColor="background2" w:themeShade="BF"/>
        </w:rPr>
      </w:pPr>
      <w:r w:rsidRPr="00664FC4">
        <w:rPr>
          <w:color w:val="57595C" w:themeColor="background2" w:themeShade="BF"/>
        </w:rPr>
        <w:t xml:space="preserve">Efficient cost and price signals </w:t>
      </w:r>
    </w:p>
    <w:p w14:paraId="002AC9A2" w14:textId="35AF9580" w:rsidR="00F43520" w:rsidRDefault="00F43520" w:rsidP="00D2449C">
      <w:pPr>
        <w:keepNext/>
        <w:keepLines/>
      </w:pPr>
      <w:r>
        <w:t>Efficient connection cost signals are delivered through efficient connection pricing signals</w:t>
      </w:r>
      <w:r w:rsidR="006141F7">
        <w:t>,</w:t>
      </w:r>
      <w:r>
        <w:t xml:space="preserve"> and they likewise serve dual purposes:</w:t>
      </w:r>
    </w:p>
    <w:p w14:paraId="048609D2" w14:textId="59F6DD41" w:rsidR="00F43520" w:rsidRDefault="00F43520" w:rsidP="00B83121">
      <w:pPr>
        <w:pStyle w:val="ListBullet"/>
      </w:pPr>
      <w:r w:rsidRPr="00185215">
        <w:t xml:space="preserve">They signal to the connection applicant the cost of their connection or augmentation on the </w:t>
      </w:r>
      <w:r w:rsidR="00FA24FF" w:rsidRPr="00185215">
        <w:t xml:space="preserve">water </w:t>
      </w:r>
      <w:r w:rsidRPr="00185215">
        <w:t xml:space="preserve">business. This ensures that customers only connect to the services, and in the locations and service capacity scales, </w:t>
      </w:r>
      <w:r w:rsidR="00741995" w:rsidRPr="00185215">
        <w:t xml:space="preserve">where the value of the connection </w:t>
      </w:r>
      <w:r w:rsidR="009E1949" w:rsidRPr="00185215">
        <w:t xml:space="preserve">to the </w:t>
      </w:r>
      <w:r w:rsidR="00CC7671" w:rsidRPr="00185215">
        <w:t xml:space="preserve">connection applicant </w:t>
      </w:r>
      <w:r w:rsidR="00741995" w:rsidRPr="00185215">
        <w:t xml:space="preserve">is greater than </w:t>
      </w:r>
      <w:r w:rsidRPr="00185215">
        <w:t xml:space="preserve">the costs </w:t>
      </w:r>
      <w:r w:rsidR="00CC7671" w:rsidRPr="00185215">
        <w:t xml:space="preserve">to the water business </w:t>
      </w:r>
      <w:r w:rsidRPr="00185215">
        <w:t xml:space="preserve">of providing those services. If the </w:t>
      </w:r>
      <w:r w:rsidR="004E7DD2" w:rsidRPr="00185215">
        <w:t>cost (signalled through th</w:t>
      </w:r>
      <w:r w:rsidR="001936FC" w:rsidRPr="00185215">
        <w:t xml:space="preserve">e </w:t>
      </w:r>
      <w:r w:rsidRPr="00185215">
        <w:t>contribution</w:t>
      </w:r>
      <w:r w:rsidR="001936FC" w:rsidRPr="00185215">
        <w:t>)</w:t>
      </w:r>
      <w:r w:rsidRPr="00185215">
        <w:t xml:space="preserve"> is more than the</w:t>
      </w:r>
      <w:r w:rsidR="001936FC" w:rsidRPr="00185215">
        <w:t xml:space="preserve"> connection applicant</w:t>
      </w:r>
      <w:r w:rsidR="00284483" w:rsidRPr="00185215">
        <w:t xml:space="preserve"> is </w:t>
      </w:r>
      <w:r w:rsidRPr="00185215">
        <w:t>willing to pay, they may consider connecting elsewhere or at a smaller scale, or relying on self-provision of some of their service needs where permitted, e.g. water storage (tanks or dams) or standalone septic or recycling system</w:t>
      </w:r>
      <w:r>
        <w:t xml:space="preserve">s. </w:t>
      </w:r>
    </w:p>
    <w:p w14:paraId="25337916" w14:textId="13B3D413" w:rsidR="00F43520" w:rsidRDefault="00F43520" w:rsidP="00B83121">
      <w:pPr>
        <w:pStyle w:val="ListBullet"/>
      </w:pPr>
      <w:r>
        <w:t xml:space="preserve">They </w:t>
      </w:r>
      <w:r w:rsidRPr="00185215">
        <w:t>ensure water businesses only incur costs for services that their customers value, and do not inefficiently incur costs for services in locations or scales that the customer would not choose to buy if they faced the resulting costs.</w:t>
      </w:r>
      <w:r>
        <w:t xml:space="preserve"> It also avoids recovery of costs from other customers</w:t>
      </w:r>
      <w:r w:rsidR="00F14741">
        <w:t xml:space="preserve"> and avoids the</w:t>
      </w:r>
      <w:r w:rsidDel="00F14741">
        <w:t xml:space="preserve"> </w:t>
      </w:r>
      <w:r>
        <w:t>risk</w:t>
      </w:r>
      <w:r w:rsidR="00F14741">
        <w:t xml:space="preserve"> of</w:t>
      </w:r>
      <w:r>
        <w:t xml:space="preserve"> distorting the water service usage decision of other customers.</w:t>
      </w:r>
    </w:p>
    <w:p w14:paraId="4E257E86" w14:textId="3C7B499D" w:rsidR="002648DA" w:rsidRPr="00664FC4" w:rsidRDefault="00F43520" w:rsidP="002648DA">
      <w:pPr>
        <w:pStyle w:val="Heading4"/>
        <w:rPr>
          <w:color w:val="57595C" w:themeColor="background2" w:themeShade="BF"/>
        </w:rPr>
      </w:pPr>
      <w:r w:rsidRPr="00664FC4">
        <w:rPr>
          <w:color w:val="57595C" w:themeColor="background2" w:themeShade="BF"/>
        </w:rPr>
        <w:lastRenderedPageBreak/>
        <w:t>Fair and reasonable connection processes</w:t>
      </w:r>
    </w:p>
    <w:p w14:paraId="4E6411D1" w14:textId="3B8AB661" w:rsidR="00F43520" w:rsidRDefault="00F43520" w:rsidP="00AB1C0C">
      <w:r>
        <w:t xml:space="preserve">Water businesses provide services that have monopoly characteristics. </w:t>
      </w:r>
      <w:r w:rsidR="00E0783B">
        <w:t>Developer charge</w:t>
      </w:r>
      <w:r>
        <w:t xml:space="preserve"> regulation</w:t>
      </w:r>
      <w:r w:rsidDel="00073153">
        <w:t xml:space="preserve"> </w:t>
      </w:r>
      <w:r>
        <w:t>seeks to avoid businesses misusing their relative market power to the detriment of connecting applicants.</w:t>
      </w:r>
    </w:p>
    <w:p w14:paraId="700C5F22" w14:textId="74218EC9" w:rsidR="00F43520" w:rsidRDefault="00E0783B" w:rsidP="00AB1C0C">
      <w:r>
        <w:t>Developer charge</w:t>
      </w:r>
      <w:r w:rsidR="00F43520">
        <w:t xml:space="preserve"> regulation can seek to ensure customers are afforded a fair and reasonable connection process which:</w:t>
      </w:r>
    </w:p>
    <w:p w14:paraId="25AA7DE2" w14:textId="1550D44D" w:rsidR="00F43520" w:rsidRDefault="00F43520" w:rsidP="00B83121">
      <w:pPr>
        <w:pStyle w:val="ListBullet"/>
      </w:pPr>
      <w:r>
        <w:t>avoids unwarranted discrimination</w:t>
      </w:r>
      <w:r w:rsidRPr="00AB1C0C">
        <w:rPr>
          <w:vertAlign w:val="superscript"/>
        </w:rPr>
        <w:footnoteReference w:id="54"/>
      </w:r>
      <w:r>
        <w:t xml:space="preserve"> between connection applicants and types </w:t>
      </w:r>
      <w:r w:rsidR="00064975">
        <w:t>(ensuring like customers receive like treatment)</w:t>
      </w:r>
      <w:r>
        <w:t xml:space="preserve"> – e.g. variation in the terms and conditions of connection or augmentation, or in the connection process and timelines, that are not reflective of differences in the underlying cost, complexity and risk involved in supplying that connection or augmentation </w:t>
      </w:r>
    </w:p>
    <w:p w14:paraId="18AC1B8C" w14:textId="77777777" w:rsidR="00F43520" w:rsidRDefault="00F43520" w:rsidP="00B83121">
      <w:pPr>
        <w:pStyle w:val="ListBullet"/>
      </w:pPr>
      <w:r>
        <w:t>affords connection applicants access to:</w:t>
      </w:r>
    </w:p>
    <w:p w14:paraId="1DA99889" w14:textId="58ED433F" w:rsidR="00F43520" w:rsidRDefault="00F43520" w:rsidP="009801E4">
      <w:pPr>
        <w:pStyle w:val="ListBullet2"/>
      </w:pPr>
      <w:r>
        <w:t>a predictable</w:t>
      </w:r>
      <w:r w:rsidR="00AB1C0C" w:rsidRPr="00AB1C0C">
        <w:t>, timely</w:t>
      </w:r>
      <w:r>
        <w:t xml:space="preserve"> and transparent connection process</w:t>
      </w:r>
    </w:p>
    <w:p w14:paraId="0E4D8EF9" w14:textId="77777777" w:rsidR="00F43520" w:rsidRDefault="00F43520" w:rsidP="009801E4">
      <w:pPr>
        <w:pStyle w:val="ListBullet2"/>
      </w:pPr>
      <w:r>
        <w:t xml:space="preserve">fair and reasonable service commitments for the connection process </w:t>
      </w:r>
    </w:p>
    <w:p w14:paraId="507299B5" w14:textId="77777777" w:rsidR="00AB1C0C" w:rsidRPr="00AB1C0C" w:rsidRDefault="00AB1C0C" w:rsidP="009801E4">
      <w:pPr>
        <w:pStyle w:val="ListBullet2"/>
      </w:pPr>
      <w:r w:rsidRPr="00AB1C0C">
        <w:t>fair and reasonable terms for connection</w:t>
      </w:r>
    </w:p>
    <w:p w14:paraId="577F97E2" w14:textId="77777777" w:rsidR="00F43520" w:rsidRDefault="00F43520" w:rsidP="009801E4">
      <w:pPr>
        <w:pStyle w:val="ListBullet2"/>
      </w:pPr>
      <w:r>
        <w:t>transparency of any fees payable by them in the process</w:t>
      </w:r>
    </w:p>
    <w:p w14:paraId="54F29EDA" w14:textId="77777777" w:rsidR="00F43520" w:rsidRDefault="00F43520" w:rsidP="009801E4">
      <w:pPr>
        <w:pStyle w:val="ListBullet2"/>
      </w:pPr>
      <w:r>
        <w:t>clarity of any obligations on them during that process – e.g. for information provision about the nature and scale of their connection needs</w:t>
      </w:r>
    </w:p>
    <w:p w14:paraId="4201FA2B" w14:textId="7E503370" w:rsidR="00C6668B" w:rsidRDefault="00AB1C0C" w:rsidP="009801E4">
      <w:pPr>
        <w:pStyle w:val="ListBullet2"/>
      </w:pPr>
      <w:r w:rsidRPr="00AB1C0C">
        <w:t>timely and effective dispute resolution</w:t>
      </w:r>
    </w:p>
    <w:p w14:paraId="0176AB4C" w14:textId="65D24639" w:rsidR="00C6668B" w:rsidRDefault="009440CE" w:rsidP="009801E4">
      <w:pPr>
        <w:pStyle w:val="ListBullet2"/>
      </w:pPr>
      <w:r>
        <w:t>information</w:t>
      </w:r>
      <w:r w:rsidR="009F6238">
        <w:t xml:space="preserve"> </w:t>
      </w:r>
      <w:r w:rsidR="00097CDF">
        <w:t xml:space="preserve">to </w:t>
      </w:r>
      <w:r w:rsidR="00AF186B">
        <w:t>a</w:t>
      </w:r>
      <w:r w:rsidR="00F3109E">
        <w:t>ssist their participation</w:t>
      </w:r>
      <w:r w:rsidR="00E1609D">
        <w:t xml:space="preserve"> in </w:t>
      </w:r>
      <w:r w:rsidR="004355B5">
        <w:t>th</w:t>
      </w:r>
      <w:r w:rsidR="007B742C">
        <w:t xml:space="preserve">e connection </w:t>
      </w:r>
      <w:r w:rsidR="00C6668B">
        <w:t>process.</w:t>
      </w:r>
    </w:p>
    <w:p w14:paraId="5D88D282" w14:textId="3A92F054" w:rsidR="00F43520" w:rsidRDefault="001C0926" w:rsidP="00431C2C">
      <w:pPr>
        <w:pStyle w:val="Heading2"/>
      </w:pPr>
      <w:bookmarkStart w:id="118" w:name="_Toc165561610"/>
      <w:bookmarkStart w:id="119" w:name="_Toc165818653"/>
      <w:bookmarkStart w:id="120" w:name="_Toc165820003"/>
      <w:bookmarkStart w:id="121" w:name="_Toc168330228"/>
      <w:bookmarkStart w:id="122" w:name="_Toc173487090"/>
      <w:bookmarkStart w:id="123" w:name="_Toc174348981"/>
      <w:bookmarkStart w:id="124" w:name="_Toc164094426"/>
      <w:r>
        <w:t>A.3</w:t>
      </w:r>
      <w:r>
        <w:tab/>
      </w:r>
      <w:r w:rsidR="00F43520">
        <w:t>Key economic concepts</w:t>
      </w:r>
      <w:bookmarkEnd w:id="118"/>
      <w:bookmarkEnd w:id="119"/>
      <w:bookmarkEnd w:id="120"/>
      <w:bookmarkEnd w:id="121"/>
      <w:bookmarkEnd w:id="122"/>
      <w:bookmarkEnd w:id="123"/>
    </w:p>
    <w:bookmarkEnd w:id="124"/>
    <w:p w14:paraId="753D5C3D" w14:textId="0845CA4B" w:rsidR="003A566E" w:rsidRDefault="00806A78" w:rsidP="00AB1C0C">
      <w:r>
        <w:t>As noted in sections A</w:t>
      </w:r>
      <w:r w:rsidR="003A566E">
        <w:t xml:space="preserve">.2.1 and A.2.2, </w:t>
      </w:r>
      <w:r w:rsidR="003A566E" w:rsidRPr="00185215">
        <w:t xml:space="preserve">the </w:t>
      </w:r>
      <w:r w:rsidR="00F43520" w:rsidRPr="00185215">
        <w:t xml:space="preserve">cost recovery threshold </w:t>
      </w:r>
      <w:r w:rsidR="00FF0D2F">
        <w:t xml:space="preserve">sets the </w:t>
      </w:r>
      <w:r w:rsidR="006C6574">
        <w:t xml:space="preserve">share of costs recovered up front </w:t>
      </w:r>
      <w:r w:rsidR="0080690A">
        <w:t xml:space="preserve">from connection applicants through </w:t>
      </w:r>
      <w:r w:rsidR="008D2DE0">
        <w:t>new</w:t>
      </w:r>
      <w:r w:rsidR="000B579D">
        <w:t xml:space="preserve"> customer contributions</w:t>
      </w:r>
      <w:r w:rsidR="005654D7">
        <w:t xml:space="preserve"> and ensures neither party is inefficiently</w:t>
      </w:r>
      <w:r w:rsidR="00214285">
        <w:t xml:space="preserve"> subsidising the other</w:t>
      </w:r>
      <w:r w:rsidR="0080690A">
        <w:t>.</w:t>
      </w:r>
    </w:p>
    <w:p w14:paraId="20030033" w14:textId="73595BDD" w:rsidR="00F43520" w:rsidRDefault="000D2B20" w:rsidP="00AB1C0C">
      <w:r>
        <w:t>Setting an appropriate</w:t>
      </w:r>
      <w:r w:rsidR="00F43520">
        <w:t xml:space="preserve"> cost recovery threshold </w:t>
      </w:r>
      <w:r w:rsidR="0033086E">
        <w:t xml:space="preserve">and subsequent </w:t>
      </w:r>
      <w:r w:rsidR="008D2DE0">
        <w:t>new</w:t>
      </w:r>
      <w:r w:rsidR="000B579D">
        <w:t xml:space="preserve"> customer contributions</w:t>
      </w:r>
      <w:r w:rsidR="00E330C1">
        <w:t xml:space="preserve"> </w:t>
      </w:r>
      <w:r w:rsidR="00F43520">
        <w:t>rel</w:t>
      </w:r>
      <w:r w:rsidR="00E330C1">
        <w:t>y</w:t>
      </w:r>
      <w:r w:rsidR="00F43520">
        <w:t xml:space="preserve"> on </w:t>
      </w:r>
      <w:r w:rsidR="009551F4">
        <w:t>an understanding of</w:t>
      </w:r>
      <w:r w:rsidR="00F43520">
        <w:t xml:space="preserve"> </w:t>
      </w:r>
      <w:r w:rsidR="00875EE1">
        <w:t xml:space="preserve">the </w:t>
      </w:r>
      <w:r w:rsidR="00F43520" w:rsidRPr="00AB1C0C">
        <w:t>economic concepts</w:t>
      </w:r>
      <w:r w:rsidR="00911358">
        <w:t xml:space="preserve"> outlined in sections A.3.1 to A.3.7</w:t>
      </w:r>
      <w:r w:rsidR="00875EE1">
        <w:t xml:space="preserve">. </w:t>
      </w:r>
      <w:r w:rsidR="00F43520" w:rsidDel="00875EE1">
        <w:t xml:space="preserve"> </w:t>
      </w:r>
    </w:p>
    <w:p w14:paraId="2E2B6830" w14:textId="45FF04D0" w:rsidR="00F43520" w:rsidRDefault="006B657B" w:rsidP="00431C2C">
      <w:pPr>
        <w:pStyle w:val="Heading3"/>
      </w:pPr>
      <w:bookmarkStart w:id="125" w:name="_Toc164094427"/>
      <w:bookmarkStart w:id="126" w:name="_Toc165561611"/>
      <w:bookmarkStart w:id="127" w:name="_Toc165818654"/>
      <w:bookmarkStart w:id="128" w:name="_Toc165820004"/>
      <w:bookmarkStart w:id="129" w:name="_Toc168330229"/>
      <w:bookmarkStart w:id="130" w:name="_Toc171596140"/>
      <w:bookmarkStart w:id="131" w:name="_Toc172017186"/>
      <w:bookmarkStart w:id="132" w:name="_Toc172902628"/>
      <w:bookmarkStart w:id="133" w:name="_Toc173487091"/>
      <w:bookmarkStart w:id="134" w:name="_Toc173844784"/>
      <w:bookmarkStart w:id="135" w:name="_Toc174348982"/>
      <w:r>
        <w:t>A.3.</w:t>
      </w:r>
      <w:r w:rsidR="00DF740C">
        <w:t>1</w:t>
      </w:r>
      <w:r w:rsidR="00DF740C">
        <w:tab/>
      </w:r>
      <w:r w:rsidR="00F43520">
        <w:t>Scope of the connection service</w:t>
      </w:r>
      <w:bookmarkEnd w:id="125"/>
      <w:bookmarkEnd w:id="126"/>
      <w:bookmarkEnd w:id="127"/>
      <w:bookmarkEnd w:id="128"/>
      <w:bookmarkEnd w:id="129"/>
      <w:bookmarkEnd w:id="130"/>
      <w:bookmarkEnd w:id="131"/>
      <w:bookmarkEnd w:id="132"/>
      <w:bookmarkEnd w:id="133"/>
      <w:bookmarkEnd w:id="134"/>
      <w:bookmarkEnd w:id="135"/>
      <w:r w:rsidR="00F43520">
        <w:t xml:space="preserve"> </w:t>
      </w:r>
    </w:p>
    <w:p w14:paraId="5248D41A" w14:textId="19753976" w:rsidR="00AB1C0C" w:rsidRPr="00AB1C0C" w:rsidRDefault="00AB1C0C" w:rsidP="00AB1C0C">
      <w:r w:rsidRPr="00AB1C0C">
        <w:t>To deliver and apply a charge for a service, the scope of the service must first be defined.</w:t>
      </w:r>
      <w:r w:rsidR="00432C49">
        <w:t xml:space="preserve"> </w:t>
      </w:r>
      <w:r w:rsidR="006B5172">
        <w:t>This ensures</w:t>
      </w:r>
      <w:r w:rsidRPr="00AB1C0C">
        <w:t xml:space="preserve"> clarity on </w:t>
      </w:r>
      <w:r w:rsidR="00AF2B7F">
        <w:t>the</w:t>
      </w:r>
      <w:r w:rsidRPr="00AB1C0C">
        <w:t xml:space="preserve"> costs to deliver</w:t>
      </w:r>
      <w:r w:rsidR="00C0347D">
        <w:t xml:space="preserve"> the service</w:t>
      </w:r>
      <w:r w:rsidRPr="00AB1C0C">
        <w:t xml:space="preserve"> and </w:t>
      </w:r>
      <w:r w:rsidR="00045EFA">
        <w:t>understanding</w:t>
      </w:r>
      <w:r w:rsidR="00B1191E">
        <w:t xml:space="preserve"> by the </w:t>
      </w:r>
      <w:r w:rsidRPr="00AB1C0C">
        <w:t>customer</w:t>
      </w:r>
      <w:r w:rsidR="00B1191E">
        <w:t xml:space="preserve"> of the</w:t>
      </w:r>
      <w:r w:rsidR="00D21D24">
        <w:t xml:space="preserve"> nature of the</w:t>
      </w:r>
      <w:r w:rsidR="00B1191E">
        <w:t xml:space="preserve"> service</w:t>
      </w:r>
      <w:r w:rsidR="000F311E">
        <w:t xml:space="preserve"> procured</w:t>
      </w:r>
      <w:r w:rsidRPr="00AB1C0C">
        <w:t xml:space="preserve">. For a connection service (new connection and connection augmentation </w:t>
      </w:r>
      <w:r w:rsidRPr="00AB1C0C">
        <w:lastRenderedPageBreak/>
        <w:t xml:space="preserve">services), this often involves </w:t>
      </w:r>
      <w:r w:rsidR="00054A0B">
        <w:t>outlining the</w:t>
      </w:r>
      <w:r w:rsidRPr="00AB1C0C">
        <w:t xml:space="preserve"> assets</w:t>
      </w:r>
      <w:r w:rsidR="00C2246A">
        <w:t xml:space="preserve"> </w:t>
      </w:r>
      <w:r w:rsidR="00F8640C">
        <w:t>used to deliver</w:t>
      </w:r>
      <w:r w:rsidRPr="00AB1C0C" w:rsidDel="00C2246A">
        <w:t xml:space="preserve"> </w:t>
      </w:r>
      <w:r w:rsidRPr="00AB1C0C">
        <w:t xml:space="preserve">the service—e.g. dedicated connection assets, meters, extensions for new shared assets, upgrades to existing shared assets, </w:t>
      </w:r>
      <w:r w:rsidR="0038501B">
        <w:t xml:space="preserve">and </w:t>
      </w:r>
      <w:r w:rsidRPr="00AB1C0C">
        <w:t>elements of shared assets previously constructed in anticipation of growth.</w:t>
      </w:r>
    </w:p>
    <w:p w14:paraId="4EFDBB0B" w14:textId="425ACD90" w:rsidR="00AB1C0C" w:rsidRPr="00AB1C0C" w:rsidRDefault="0038501B" w:rsidP="00AB1C0C">
      <w:r>
        <w:t>We have</w:t>
      </w:r>
      <w:r w:rsidR="00AB1C0C" w:rsidRPr="00AB1C0C">
        <w:t xml:space="preserve"> previously defined the Victorian </w:t>
      </w:r>
      <w:r w:rsidR="00E0783B">
        <w:t>developer charge</w:t>
      </w:r>
      <w:r w:rsidR="00AB1C0C" w:rsidRPr="00AB1C0C">
        <w:t xml:space="preserve"> service as:</w:t>
      </w:r>
    </w:p>
    <w:p w14:paraId="76FD676A" w14:textId="77777777" w:rsidR="00AB1C0C" w:rsidRPr="00AB1C0C" w:rsidRDefault="00AB1C0C" w:rsidP="00821AA1">
      <w:pPr>
        <w:pStyle w:val="Quote"/>
        <w:spacing w:before="180" w:after="180"/>
      </w:pPr>
      <w:r w:rsidRPr="00AB1C0C">
        <w:t xml:space="preserve">Infrastructure and associated activities to connect an un-serviced property to the water services networks, or </w:t>
      </w:r>
    </w:p>
    <w:p w14:paraId="72754637" w14:textId="77777777" w:rsidR="00AB1C0C" w:rsidRPr="00AB1C0C" w:rsidRDefault="00AB1C0C" w:rsidP="00821AA1">
      <w:pPr>
        <w:pStyle w:val="Quote"/>
        <w:spacing w:before="120" w:after="180"/>
      </w:pPr>
      <w:r w:rsidRPr="00AB1C0C">
        <w:t>Infrastructure and associated activities required to increase services to a serviced property</w:t>
      </w:r>
      <w:r w:rsidRPr="00AB1C0C">
        <w:rPr>
          <w:vertAlign w:val="superscript"/>
        </w:rPr>
        <w:footnoteReference w:id="55"/>
      </w:r>
    </w:p>
    <w:p w14:paraId="18139DCD" w14:textId="4A06F6C2" w:rsidR="00F43520" w:rsidRDefault="00DF740C" w:rsidP="00435CEB">
      <w:pPr>
        <w:pStyle w:val="Heading3"/>
      </w:pPr>
      <w:bookmarkStart w:id="136" w:name="_Toc164094428"/>
      <w:bookmarkStart w:id="137" w:name="_Toc165561612"/>
      <w:bookmarkStart w:id="138" w:name="_Toc165818655"/>
      <w:bookmarkStart w:id="139" w:name="_Toc165820005"/>
      <w:bookmarkStart w:id="140" w:name="_Toc168330230"/>
      <w:bookmarkStart w:id="141" w:name="_Toc171596141"/>
      <w:bookmarkStart w:id="142" w:name="_Toc172017187"/>
      <w:bookmarkStart w:id="143" w:name="_Toc172902629"/>
      <w:bookmarkStart w:id="144" w:name="_Toc173487092"/>
      <w:bookmarkStart w:id="145" w:name="_Toc173844785"/>
      <w:bookmarkStart w:id="146" w:name="_Toc174348983"/>
      <w:r>
        <w:t>A.3.2</w:t>
      </w:r>
      <w:r>
        <w:tab/>
      </w:r>
      <w:r w:rsidR="00F43520">
        <w:t>Scope of recoverable costs</w:t>
      </w:r>
      <w:bookmarkEnd w:id="136"/>
      <w:bookmarkEnd w:id="137"/>
      <w:bookmarkEnd w:id="138"/>
      <w:bookmarkEnd w:id="139"/>
      <w:bookmarkEnd w:id="140"/>
      <w:bookmarkEnd w:id="141"/>
      <w:bookmarkEnd w:id="142"/>
      <w:bookmarkEnd w:id="143"/>
      <w:bookmarkEnd w:id="144"/>
      <w:bookmarkEnd w:id="145"/>
      <w:bookmarkEnd w:id="146"/>
    </w:p>
    <w:p w14:paraId="439971A7" w14:textId="0D701142" w:rsidR="00F43520" w:rsidRDefault="00F43520" w:rsidP="00AB1C0C">
      <w:r>
        <w:t xml:space="preserve">The scope of costs </w:t>
      </w:r>
      <w:r w:rsidR="0070193D">
        <w:t>applied to the</w:t>
      </w:r>
      <w:r>
        <w:t xml:space="preserve"> cost recovery threshold</w:t>
      </w:r>
      <w:r w:rsidDel="0070193D">
        <w:t xml:space="preserve"> is </w:t>
      </w:r>
      <w:r>
        <w:t xml:space="preserve">an important element of </w:t>
      </w:r>
      <w:r w:rsidR="00CB0E8E">
        <w:t xml:space="preserve">the </w:t>
      </w:r>
      <w:r w:rsidR="00040C32">
        <w:t>new customer contributions</w:t>
      </w:r>
      <w:r>
        <w:t xml:space="preserve"> </w:t>
      </w:r>
      <w:r w:rsidR="00963F22">
        <w:t xml:space="preserve">regulatory </w:t>
      </w:r>
      <w:r>
        <w:t xml:space="preserve">framework. Costs attributed to </w:t>
      </w:r>
      <w:r w:rsidR="00CB0E8E">
        <w:t xml:space="preserve">the </w:t>
      </w:r>
      <w:r w:rsidR="003920BB">
        <w:t>N</w:t>
      </w:r>
      <w:r w:rsidR="00040C32">
        <w:t xml:space="preserve">CCs </w:t>
      </w:r>
      <w:r>
        <w:t>calculation should be transparent, consistently attributed and reflective of the underlying costs to ensure efficient pricing signals.</w:t>
      </w:r>
    </w:p>
    <w:p w14:paraId="70A9E5A3" w14:textId="2D83694F" w:rsidR="00F43520" w:rsidRDefault="00F43520" w:rsidP="00AB1C0C">
      <w:r>
        <w:t xml:space="preserve">Key considerations for the scope of recoverable costs are summarised in </w:t>
      </w:r>
      <w:r w:rsidR="00F944A9" w:rsidRPr="00E26C92">
        <w:fldChar w:fldCharType="begin"/>
      </w:r>
      <w:r w:rsidR="00F944A9" w:rsidRPr="00E26C92">
        <w:instrText xml:space="preserve"> REF _Ref170811117 \h </w:instrText>
      </w:r>
      <w:r w:rsidR="00E26C92" w:rsidRPr="00E26C92">
        <w:instrText xml:space="preserve"> \* MERGEFORMAT </w:instrText>
      </w:r>
      <w:r w:rsidR="00F944A9" w:rsidRPr="00E26C92">
        <w:fldChar w:fldCharType="separate"/>
      </w:r>
      <w:r w:rsidR="009A4DD8" w:rsidRPr="00AB1C0C">
        <w:t xml:space="preserve">Table </w:t>
      </w:r>
      <w:r w:rsidR="009A4DD8">
        <w:t>A</w:t>
      </w:r>
      <w:r w:rsidR="009A4DD8" w:rsidRPr="00DF740C">
        <w:t>.</w:t>
      </w:r>
      <w:r w:rsidR="009A4DD8" w:rsidRPr="009A4DD8">
        <w:rPr>
          <w:noProof/>
        </w:rPr>
        <w:t>1</w:t>
      </w:r>
      <w:r w:rsidR="00F944A9" w:rsidRPr="00E26C92">
        <w:fldChar w:fldCharType="end"/>
      </w:r>
      <w:r w:rsidR="00AB1C0C" w:rsidRPr="00E26C92">
        <w:t>.</w:t>
      </w:r>
      <w:r w:rsidR="00AB1C0C" w:rsidRPr="00AB1C0C">
        <w:t xml:space="preserve"> These considerations need to be consistently applied by a business to achieve the customer protection </w:t>
      </w:r>
      <w:r w:rsidR="001D47DD">
        <w:t>role</w:t>
      </w:r>
      <w:r w:rsidR="001D47DD" w:rsidRPr="00AB1C0C">
        <w:t xml:space="preserve"> </w:t>
      </w:r>
      <w:r w:rsidR="00AB1C0C" w:rsidRPr="00AB1C0C">
        <w:t xml:space="preserve">discussed above in </w:t>
      </w:r>
      <w:r w:rsidR="00B35A75">
        <w:t>section</w:t>
      </w:r>
      <w:r w:rsidR="00A74D80">
        <w:t> </w:t>
      </w:r>
      <w:r w:rsidR="00B35A75">
        <w:t>A</w:t>
      </w:r>
      <w:r w:rsidR="003729EF">
        <w:t>.</w:t>
      </w:r>
      <w:r w:rsidR="00AB1C0C" w:rsidRPr="00AB1C0C">
        <w:t xml:space="preserve"> In some </w:t>
      </w:r>
      <w:r w:rsidR="00055869">
        <w:t>new</w:t>
      </w:r>
      <w:r w:rsidR="000B579D">
        <w:t xml:space="preserve"> customer contributions</w:t>
      </w:r>
      <w:r w:rsidR="00AB1C0C" w:rsidRPr="00AB1C0C">
        <w:t xml:space="preserve"> regulatory frameworks, some of these considerations are prescribed by the regulatory regime or in regulator guidance</w:t>
      </w:r>
      <w:r w:rsidR="004A22E2">
        <w:t>. This is</w:t>
      </w:r>
      <w:r w:rsidR="00AB1C0C" w:rsidRPr="00AB1C0C" w:rsidDel="004A22E2">
        <w:t xml:space="preserve"> </w:t>
      </w:r>
      <w:r w:rsidR="00AB1C0C" w:rsidRPr="00AB1C0C">
        <w:t>illustrate</w:t>
      </w:r>
      <w:r w:rsidR="004A22E2">
        <w:t>d</w:t>
      </w:r>
      <w:r w:rsidR="00AB1C0C" w:rsidRPr="00AB1C0C">
        <w:t xml:space="preserve"> with examples in </w:t>
      </w:r>
      <w:r w:rsidR="00BE16D1">
        <w:t>T</w:t>
      </w:r>
      <w:r w:rsidR="00AB1C0C" w:rsidRPr="00AB1C0C">
        <w:t>able</w:t>
      </w:r>
      <w:r w:rsidR="00A63F53">
        <w:t xml:space="preserve"> </w:t>
      </w:r>
      <w:r w:rsidR="003851FD">
        <w:t>A</w:t>
      </w:r>
      <w:r w:rsidR="00A63F53">
        <w:t>.1</w:t>
      </w:r>
      <w:r w:rsidR="00AB1C0C" w:rsidRPr="00AB1C0C">
        <w:t>. Full case studies for the examples are pro</w:t>
      </w:r>
      <w:r w:rsidR="004E498E">
        <w:t xml:space="preserve">vided in a </w:t>
      </w:r>
      <w:r w:rsidR="00E77616">
        <w:rPr>
          <w:lang w:val="en-GB" w:eastAsia="zh-CN"/>
        </w:rPr>
        <w:t>separate paper “</w:t>
      </w:r>
      <w:r w:rsidR="00E77616" w:rsidRPr="00427EFC">
        <w:rPr>
          <w:lang w:val="en-GB" w:eastAsia="zh-CN"/>
        </w:rPr>
        <w:t>Connection contributions frameworks in other regulatory regimes</w:t>
      </w:r>
      <w:r w:rsidR="00E77616">
        <w:rPr>
          <w:lang w:val="en-GB" w:eastAsia="zh-CN"/>
        </w:rPr>
        <w:t>”</w:t>
      </w:r>
    </w:p>
    <w:p w14:paraId="40DB937A" w14:textId="115B98FB" w:rsidR="00F43520" w:rsidRPr="00AB1C0C" w:rsidRDefault="00F43520" w:rsidP="006013F8">
      <w:pPr>
        <w:pStyle w:val="Figure-Table-BoxHeading"/>
        <w:keepNext/>
        <w:keepLines/>
        <w:spacing w:after="60" w:line="336" w:lineRule="auto"/>
        <w:ind w:left="1418" w:hanging="1418"/>
      </w:pPr>
      <w:bookmarkStart w:id="147" w:name="_Ref170811117"/>
      <w:r w:rsidRPr="00AB1C0C">
        <w:lastRenderedPageBreak/>
        <w:t xml:space="preserve">Table </w:t>
      </w:r>
      <w:r w:rsidR="00DF740C">
        <w:t>A</w:t>
      </w:r>
      <w:r w:rsidRPr="00DF740C">
        <w:t>.</w:t>
      </w:r>
      <w:r>
        <w:fldChar w:fldCharType="begin"/>
      </w:r>
      <w:r w:rsidRPr="00AB1C0C">
        <w:rPr>
          <w:b w:val="0"/>
        </w:rPr>
        <w:instrText xml:space="preserve"> SEQ Table \* ARABIC \s 1 </w:instrText>
      </w:r>
      <w:r>
        <w:fldChar w:fldCharType="separate"/>
      </w:r>
      <w:r w:rsidR="009A4DD8">
        <w:rPr>
          <w:b w:val="0"/>
          <w:noProof/>
        </w:rPr>
        <w:t>1</w:t>
      </w:r>
      <w:r>
        <w:rPr>
          <w:noProof/>
        </w:rPr>
        <w:fldChar w:fldCharType="end"/>
      </w:r>
      <w:bookmarkEnd w:id="147"/>
      <w:r w:rsidR="006013F8">
        <w:rPr>
          <w:noProof/>
        </w:rPr>
        <w:tab/>
      </w:r>
      <w:r w:rsidRPr="00DF740C">
        <w:t>Considerations for the scope of recoverable costs</w:t>
      </w:r>
    </w:p>
    <w:tbl>
      <w:tblPr>
        <w:tblStyle w:val="TableGrid"/>
        <w:tblW w:w="0" w:type="auto"/>
        <w:tblLook w:val="0420" w:firstRow="1" w:lastRow="0" w:firstColumn="0" w:lastColumn="0" w:noHBand="0" w:noVBand="1"/>
      </w:tblPr>
      <w:tblGrid>
        <w:gridCol w:w="1671"/>
        <w:gridCol w:w="3994"/>
        <w:gridCol w:w="3973"/>
      </w:tblGrid>
      <w:tr w:rsidR="00AB1C0C" w:rsidRPr="00AB1C0C" w14:paraId="36CF2D62" w14:textId="77777777" w:rsidTr="004A348C">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42B59380" w14:textId="77777777" w:rsidR="00AB1C0C" w:rsidRPr="00AB1C0C" w:rsidRDefault="00AB1C0C" w:rsidP="00FE44D3">
            <w:pPr>
              <w:pStyle w:val="TableBody"/>
              <w:keepNext/>
              <w:keepLines/>
            </w:pPr>
            <w:r w:rsidRPr="00AB1C0C">
              <w:t>Consideration</w:t>
            </w:r>
          </w:p>
        </w:tc>
        <w:tc>
          <w:tcPr>
            <w:tcW w:w="0" w:type="auto"/>
          </w:tcPr>
          <w:p w14:paraId="4AE869B8" w14:textId="77777777" w:rsidR="00AB1C0C" w:rsidRPr="00AB1C0C" w:rsidRDefault="00AB1C0C" w:rsidP="00FE44D3">
            <w:pPr>
              <w:pStyle w:val="TableBody"/>
              <w:keepNext/>
              <w:keepLines/>
            </w:pPr>
            <w:r w:rsidRPr="00AB1C0C">
              <w:t>Description and issues</w:t>
            </w:r>
          </w:p>
        </w:tc>
        <w:tc>
          <w:tcPr>
            <w:tcW w:w="0" w:type="auto"/>
          </w:tcPr>
          <w:p w14:paraId="512C97FA" w14:textId="77777777" w:rsidR="00AB1C0C" w:rsidRPr="00AB1C0C" w:rsidRDefault="00AB1C0C" w:rsidP="00FE44D3">
            <w:pPr>
              <w:pStyle w:val="TableBody"/>
              <w:keepNext/>
              <w:keepLines/>
            </w:pPr>
            <w:r w:rsidRPr="00AB1C0C">
              <w:t>Regulated examples</w:t>
            </w:r>
          </w:p>
        </w:tc>
      </w:tr>
      <w:tr w:rsidR="00AB1C0C" w:rsidRPr="00AB1C0C" w14:paraId="47E02627" w14:textId="77777777" w:rsidTr="004A348C">
        <w:trPr>
          <w:cnfStyle w:val="000000100000" w:firstRow="0" w:lastRow="0" w:firstColumn="0" w:lastColumn="0" w:oddVBand="0" w:evenVBand="0" w:oddHBand="1" w:evenHBand="0" w:firstRowFirstColumn="0" w:firstRowLastColumn="0" w:lastRowFirstColumn="0" w:lastRowLastColumn="0"/>
          <w:cantSplit/>
        </w:trPr>
        <w:tc>
          <w:tcPr>
            <w:tcW w:w="0" w:type="auto"/>
          </w:tcPr>
          <w:p w14:paraId="450CE118" w14:textId="77777777" w:rsidR="00AB1C0C" w:rsidRPr="004C661B" w:rsidRDefault="00AB1C0C" w:rsidP="00FE44D3">
            <w:pPr>
              <w:pStyle w:val="TableBody"/>
              <w:keepNext/>
              <w:keepLines/>
            </w:pPr>
            <w:r w:rsidRPr="004C661B">
              <w:t>Costs by service type</w:t>
            </w:r>
          </w:p>
        </w:tc>
        <w:tc>
          <w:tcPr>
            <w:tcW w:w="0" w:type="auto"/>
          </w:tcPr>
          <w:p w14:paraId="1A241D0E" w14:textId="77777777" w:rsidR="00AB1C0C" w:rsidRPr="004C661B" w:rsidRDefault="00AB1C0C" w:rsidP="00FE44D3">
            <w:pPr>
              <w:pStyle w:val="TableBody"/>
              <w:keepNext/>
              <w:keepLines/>
              <w:spacing w:before="60" w:after="120" w:line="264" w:lineRule="auto"/>
            </w:pPr>
            <w:r w:rsidRPr="004C661B">
              <w:t>Costs attributable to a particular service should be attributed to it.</w:t>
            </w:r>
          </w:p>
          <w:p w14:paraId="56457F75" w14:textId="21A99D69" w:rsidR="00AB1C0C" w:rsidRPr="004C661B" w:rsidRDefault="00AB1C0C" w:rsidP="00FE44D3">
            <w:pPr>
              <w:pStyle w:val="TableBody"/>
              <w:keepNext/>
              <w:keepLines/>
              <w:spacing w:before="60" w:after="60" w:line="264" w:lineRule="auto"/>
            </w:pPr>
            <w:r w:rsidRPr="6A4A0A98">
              <w:rPr>
                <w:lang w:val="en-AU"/>
              </w:rPr>
              <w:t>Some regimes require that this be done in accordance with the business’ cost allocation methodology (CAM).</w:t>
            </w:r>
          </w:p>
        </w:tc>
        <w:tc>
          <w:tcPr>
            <w:tcW w:w="0" w:type="auto"/>
          </w:tcPr>
          <w:p w14:paraId="43379F1E" w14:textId="7FDB8AFF" w:rsidR="00AB1C0C" w:rsidRPr="004C661B" w:rsidRDefault="00AB1C0C" w:rsidP="00FE44D3">
            <w:pPr>
              <w:pStyle w:val="TableBody"/>
              <w:keepNext/>
              <w:keepLines/>
              <w:spacing w:before="60" w:after="60" w:line="264" w:lineRule="auto"/>
            </w:pPr>
            <w:r w:rsidRPr="6A4A0A98">
              <w:rPr>
                <w:lang w:val="en-AU"/>
              </w:rPr>
              <w:t>Australian electricity distribution networks are required to comply with their regulator-approved CAM when attributing costs to different services and considering connection or augmentation costs in upfront contribution calculations.</w:t>
            </w:r>
          </w:p>
        </w:tc>
      </w:tr>
      <w:tr w:rsidR="00AB1C0C" w:rsidRPr="00AB1C0C" w14:paraId="6AF84895" w14:textId="77777777" w:rsidTr="004A348C">
        <w:trPr>
          <w:cnfStyle w:val="000000010000" w:firstRow="0" w:lastRow="0" w:firstColumn="0" w:lastColumn="0" w:oddVBand="0" w:evenVBand="0" w:oddHBand="0" w:evenHBand="1" w:firstRowFirstColumn="0" w:firstRowLastColumn="0" w:lastRowFirstColumn="0" w:lastRowLastColumn="0"/>
          <w:cantSplit/>
        </w:trPr>
        <w:tc>
          <w:tcPr>
            <w:tcW w:w="0" w:type="auto"/>
          </w:tcPr>
          <w:p w14:paraId="7D24815A" w14:textId="77777777" w:rsidR="00AB1C0C" w:rsidRPr="00AB1C0C" w:rsidRDefault="00AB1C0C" w:rsidP="008652BB">
            <w:pPr>
              <w:pStyle w:val="TableBody"/>
            </w:pPr>
            <w:r w:rsidRPr="00AB1C0C">
              <w:t>Costs by location</w:t>
            </w:r>
          </w:p>
        </w:tc>
        <w:tc>
          <w:tcPr>
            <w:tcW w:w="0" w:type="auto"/>
          </w:tcPr>
          <w:p w14:paraId="7C835C11" w14:textId="72ED909D" w:rsidR="00AB1C0C" w:rsidRPr="00AB1C0C" w:rsidRDefault="00AB1C0C" w:rsidP="00821AA1">
            <w:pPr>
              <w:pStyle w:val="TableBody"/>
              <w:spacing w:before="60" w:after="120" w:line="264" w:lineRule="auto"/>
            </w:pPr>
            <w:r w:rsidRPr="6A4A0A98">
              <w:rPr>
                <w:lang w:val="en-AU"/>
              </w:rPr>
              <w:t>Recoverable costs should consider costs relevant to the location of the connection service. Areas with sufficiently different costs to supply would not comply with the efficient price signal objective if their costs were not separately treated when calculating contributions for those areas.</w:t>
            </w:r>
          </w:p>
          <w:p w14:paraId="20E8EF5E" w14:textId="77777777" w:rsidR="00AB1C0C" w:rsidRDefault="00AB1C0C" w:rsidP="00821AA1">
            <w:pPr>
              <w:pStyle w:val="TableBody"/>
              <w:spacing w:before="60"/>
            </w:pPr>
            <w:r w:rsidRPr="00AB1C0C">
              <w:t>For example:</w:t>
            </w:r>
          </w:p>
          <w:p w14:paraId="2333A2D8" w14:textId="77777777" w:rsidR="00AB1C0C" w:rsidRPr="00AB1C0C" w:rsidRDefault="00AB1C0C" w:rsidP="00B83121">
            <w:pPr>
              <w:pStyle w:val="TableBullet"/>
            </w:pPr>
            <w:r w:rsidRPr="00AB1C0C">
              <w:t>Separate water systems that are not interconnected or have materially different costs to supply services</w:t>
            </w:r>
          </w:p>
          <w:p w14:paraId="0EFB0D11" w14:textId="77777777" w:rsidR="00AB1C0C" w:rsidRPr="00AB1C0C" w:rsidRDefault="00AB1C0C" w:rsidP="00B83121">
            <w:pPr>
              <w:pStyle w:val="TableBullet"/>
            </w:pPr>
            <w:r w:rsidRPr="00AB1C0C">
              <w:t>Greenfield versus infill areas</w:t>
            </w:r>
          </w:p>
          <w:p w14:paraId="5030FB6C" w14:textId="77777777" w:rsidR="00AB1C0C" w:rsidRPr="00AB1C0C" w:rsidRDefault="00AB1C0C" w:rsidP="00B83121">
            <w:pPr>
              <w:pStyle w:val="TableBullet"/>
            </w:pPr>
            <w:r w:rsidRPr="00AB1C0C">
              <w:t>Gravity fed versus pumped areas</w:t>
            </w:r>
          </w:p>
          <w:p w14:paraId="022A4B8F" w14:textId="77777777" w:rsidR="00AB1C0C" w:rsidRPr="00AB1C0C" w:rsidRDefault="00AB1C0C" w:rsidP="00B83121">
            <w:pPr>
              <w:pStyle w:val="TableBullet"/>
            </w:pPr>
            <w:r w:rsidRPr="00AB1C0C">
              <w:t>Connections to low pressure versus high pressure water infrastructure</w:t>
            </w:r>
          </w:p>
        </w:tc>
        <w:tc>
          <w:tcPr>
            <w:tcW w:w="0" w:type="auto"/>
          </w:tcPr>
          <w:p w14:paraId="2BA160F3" w14:textId="609B88CD" w:rsidR="00AB1C0C" w:rsidRPr="00AB1C0C" w:rsidRDefault="00AB1C0C" w:rsidP="00821AA1">
            <w:pPr>
              <w:pStyle w:val="TableBody"/>
              <w:spacing w:before="60" w:after="120" w:line="264" w:lineRule="auto"/>
            </w:pPr>
            <w:r w:rsidRPr="6A4A0A98">
              <w:rPr>
                <w:lang w:val="en-AU"/>
              </w:rPr>
              <w:t>The Australian National Water Initiative Pricing Principles support this with the principles for urban water tariffs stating:</w:t>
            </w:r>
          </w:p>
          <w:p w14:paraId="51F9B7B1" w14:textId="13C0340F" w:rsidR="00AB1C0C" w:rsidRPr="00AB1C0C" w:rsidRDefault="00AB1C0C" w:rsidP="00821AA1">
            <w:pPr>
              <w:pStyle w:val="TableBody"/>
              <w:spacing w:before="60" w:after="120" w:line="264" w:lineRule="auto"/>
              <w:rPr>
                <w:i/>
                <w:lang w:val="en-AU"/>
              </w:rPr>
            </w:pPr>
            <w:r w:rsidRPr="6A4A0A98">
              <w:rPr>
                <w:lang w:val="en-AU"/>
              </w:rPr>
              <w:t>‘</w:t>
            </w:r>
            <w:r w:rsidRPr="6A4A0A98">
              <w:rPr>
                <w:i/>
                <w:lang w:val="en-AU"/>
              </w:rPr>
              <w:t xml:space="preserve">Principle 7: Differential water charges | Water charges should be differentiated by the cost of servicing different customers (for example, </w:t>
            </w:r>
            <w:proofErr w:type="gramStart"/>
            <w:r w:rsidRPr="6A4A0A98">
              <w:rPr>
                <w:i/>
                <w:lang w:val="en-AU"/>
              </w:rPr>
              <w:t>on the basis of</w:t>
            </w:r>
            <w:proofErr w:type="gramEnd"/>
            <w:r w:rsidRPr="6A4A0A98">
              <w:rPr>
                <w:i/>
                <w:lang w:val="en-AU"/>
              </w:rPr>
              <w:t xml:space="preserve"> location and service standards) where there are benefits in doing so and where it can be shown that these benefits outweigh the costs of identifying differences and the equity advantages of alternatives.</w:t>
            </w:r>
          </w:p>
          <w:p w14:paraId="15D6C2B5" w14:textId="60FF8230" w:rsidR="00AB1C0C" w:rsidRPr="00AB1C0C" w:rsidRDefault="00AB1C0C" w:rsidP="00821AA1">
            <w:pPr>
              <w:pStyle w:val="TableBody"/>
              <w:spacing w:before="60" w:after="60" w:line="264" w:lineRule="auto"/>
            </w:pPr>
            <w:r w:rsidRPr="00AB1C0C">
              <w:rPr>
                <w:i/>
                <w:iCs/>
              </w:rPr>
              <w:t xml:space="preserve">Notes: Differential pricing may be achieved by upfront contributions, including </w:t>
            </w:r>
            <w:r w:rsidR="00634778">
              <w:rPr>
                <w:i/>
                <w:iCs/>
              </w:rPr>
              <w:t>developer charge</w:t>
            </w:r>
            <w:r w:rsidR="0072723C">
              <w:rPr>
                <w:i/>
                <w:iCs/>
              </w:rPr>
              <w:t>s</w:t>
            </w:r>
            <w:r w:rsidRPr="00AB1C0C">
              <w:rPr>
                <w:i/>
                <w:iCs/>
              </w:rPr>
              <w:t>.</w:t>
            </w:r>
            <w:r w:rsidRPr="00AB1C0C">
              <w:t>’</w:t>
            </w:r>
          </w:p>
        </w:tc>
      </w:tr>
    </w:tbl>
    <w:p w14:paraId="7E880B06" w14:textId="2AADE07F" w:rsidR="0073256F" w:rsidRDefault="000773B7" w:rsidP="000773B7">
      <w:pPr>
        <w:pStyle w:val="Source"/>
      </w:pPr>
      <w:bookmarkStart w:id="148" w:name="_Toc164094429"/>
      <w:r>
        <w:t>Continued next page</w:t>
      </w:r>
    </w:p>
    <w:p w14:paraId="4006FD5D" w14:textId="39DC8519" w:rsidR="0073256F" w:rsidRDefault="0073256F" w:rsidP="00492EF6">
      <w:pPr>
        <w:pStyle w:val="Source"/>
        <w:spacing w:before="0" w:after="0" w:line="240" w:lineRule="auto"/>
      </w:pPr>
    </w:p>
    <w:tbl>
      <w:tblPr>
        <w:tblStyle w:val="TableGrid"/>
        <w:tblpPr w:leftFromText="180" w:rightFromText="180" w:vertAnchor="page" w:horzAnchor="margin" w:tblpY="1541"/>
        <w:tblW w:w="0" w:type="auto"/>
        <w:tblLook w:val="0420" w:firstRow="1" w:lastRow="0" w:firstColumn="0" w:lastColumn="0" w:noHBand="0" w:noVBand="1"/>
      </w:tblPr>
      <w:tblGrid>
        <w:gridCol w:w="1734"/>
        <w:gridCol w:w="4052"/>
        <w:gridCol w:w="3852"/>
      </w:tblGrid>
      <w:tr w:rsidR="00A52D1B" w:rsidRPr="00AB1C0C" w14:paraId="4675B139" w14:textId="77777777" w:rsidTr="3FA42D95">
        <w:trPr>
          <w:cnfStyle w:val="100000000000" w:firstRow="1" w:lastRow="0" w:firstColumn="0" w:lastColumn="0" w:oddVBand="0" w:evenVBand="0" w:oddHBand="0" w:evenHBand="0" w:firstRowFirstColumn="0" w:firstRowLastColumn="0" w:lastRowFirstColumn="0" w:lastRowLastColumn="0"/>
          <w:cantSplit/>
          <w:tblHeader/>
        </w:trPr>
        <w:tc>
          <w:tcPr>
            <w:tcW w:w="0" w:type="auto"/>
          </w:tcPr>
          <w:p w14:paraId="5368547C" w14:textId="77777777" w:rsidR="00A52D1B" w:rsidRPr="00AB1C0C" w:rsidRDefault="00A52D1B" w:rsidP="00A52D1B">
            <w:pPr>
              <w:pStyle w:val="TableBody"/>
            </w:pPr>
            <w:r w:rsidRPr="00AB1C0C">
              <w:lastRenderedPageBreak/>
              <w:t>Consideration</w:t>
            </w:r>
          </w:p>
        </w:tc>
        <w:tc>
          <w:tcPr>
            <w:tcW w:w="0" w:type="auto"/>
          </w:tcPr>
          <w:p w14:paraId="647E0983" w14:textId="77777777" w:rsidR="00A52D1B" w:rsidRPr="00AB1C0C" w:rsidRDefault="00A52D1B" w:rsidP="00A52D1B">
            <w:pPr>
              <w:pStyle w:val="TableBody"/>
            </w:pPr>
            <w:r w:rsidRPr="00AB1C0C">
              <w:t>Description and issues</w:t>
            </w:r>
          </w:p>
        </w:tc>
        <w:tc>
          <w:tcPr>
            <w:tcW w:w="0" w:type="auto"/>
          </w:tcPr>
          <w:p w14:paraId="523FD914" w14:textId="77777777" w:rsidR="00A52D1B" w:rsidRPr="00AB1C0C" w:rsidRDefault="00A52D1B" w:rsidP="00A52D1B">
            <w:pPr>
              <w:pStyle w:val="TableBody"/>
            </w:pPr>
            <w:r w:rsidRPr="00AB1C0C">
              <w:t>Regulated examples</w:t>
            </w:r>
          </w:p>
        </w:tc>
      </w:tr>
      <w:tr w:rsidR="00A52D1B" w:rsidRPr="00AB1C0C" w14:paraId="090A8FE8" w14:textId="77777777" w:rsidTr="3FA42D95">
        <w:trPr>
          <w:cnfStyle w:val="000000100000" w:firstRow="0" w:lastRow="0" w:firstColumn="0" w:lastColumn="0" w:oddVBand="0" w:evenVBand="0" w:oddHBand="1" w:evenHBand="0" w:firstRowFirstColumn="0" w:firstRowLastColumn="0" w:lastRowFirstColumn="0" w:lastRowLastColumn="0"/>
          <w:cantSplit/>
        </w:trPr>
        <w:tc>
          <w:tcPr>
            <w:tcW w:w="0" w:type="auto"/>
          </w:tcPr>
          <w:p w14:paraId="6B83EF44" w14:textId="77777777" w:rsidR="00A52D1B" w:rsidRPr="00AB1C0C" w:rsidRDefault="00A52D1B" w:rsidP="00A52D1B">
            <w:pPr>
              <w:pStyle w:val="TableBody"/>
              <w:spacing w:line="264" w:lineRule="auto"/>
            </w:pPr>
            <w:r w:rsidRPr="00AB1C0C">
              <w:t xml:space="preserve">Attributable benefits </w:t>
            </w:r>
          </w:p>
        </w:tc>
        <w:tc>
          <w:tcPr>
            <w:tcW w:w="0" w:type="auto"/>
          </w:tcPr>
          <w:p w14:paraId="3F7F009C" w14:textId="77777777" w:rsidR="00A52D1B" w:rsidRPr="00AB1C0C" w:rsidRDefault="00A52D1B" w:rsidP="00A52D1B">
            <w:pPr>
              <w:pStyle w:val="TableBody"/>
              <w:spacing w:before="60" w:after="60" w:line="264" w:lineRule="auto"/>
            </w:pPr>
            <w:r w:rsidRPr="00AB1C0C">
              <w:t>Are there cost-related connection benefits that should be considered? For example:</w:t>
            </w:r>
          </w:p>
          <w:p w14:paraId="064732B9" w14:textId="274C8465" w:rsidR="00A52D1B" w:rsidRPr="00AB1C0C" w:rsidRDefault="00A52D1B" w:rsidP="00B83121">
            <w:pPr>
              <w:pStyle w:val="TableBullet"/>
            </w:pPr>
            <w:r w:rsidRPr="00AB1C0C">
              <w:t xml:space="preserve">Assets constructed by a </w:t>
            </w:r>
            <w:r w:rsidR="00D56CFB">
              <w:t>connection applicant</w:t>
            </w:r>
            <w:r w:rsidR="00D56CFB" w:rsidRPr="00AB1C0C" w:rsidDel="00D56CFB">
              <w:t xml:space="preserve"> </w:t>
            </w:r>
            <w:r w:rsidRPr="00AB1C0C">
              <w:t>and gifted to the business</w:t>
            </w:r>
          </w:p>
          <w:p w14:paraId="747192B5" w14:textId="77777777" w:rsidR="00A52D1B" w:rsidRPr="00AB1C0C" w:rsidRDefault="00A52D1B" w:rsidP="00B83121">
            <w:pPr>
              <w:pStyle w:val="TableBullet"/>
            </w:pPr>
            <w:r w:rsidRPr="00AB1C0C">
              <w:t>Upsizing of gifted assets required to service subsequent customers</w:t>
            </w:r>
          </w:p>
          <w:p w14:paraId="4416301A" w14:textId="3D7FE4C4" w:rsidR="00A52D1B" w:rsidRPr="00AB1C0C" w:rsidRDefault="00A52D1B" w:rsidP="00B83121">
            <w:pPr>
              <w:pStyle w:val="TableBullet"/>
            </w:pPr>
            <w:r w:rsidRPr="00AB1C0C">
              <w:t>Avoided costs – e.g. where a business upgrades the capacity of an asset it would have otherwise replaced soon</w:t>
            </w:r>
            <w:r w:rsidR="00B61AC5">
              <w:t>,</w:t>
            </w:r>
            <w:r w:rsidRPr="00AB1C0C">
              <w:t xml:space="preserve"> should the connection applicant only pay the difference to what the business would have otherwise incurred?</w:t>
            </w:r>
          </w:p>
        </w:tc>
        <w:tc>
          <w:tcPr>
            <w:tcW w:w="0" w:type="auto"/>
          </w:tcPr>
          <w:p w14:paraId="22402326" w14:textId="7CFB5349" w:rsidR="00A52D1B" w:rsidRPr="00AB1C0C" w:rsidRDefault="00A52D1B" w:rsidP="00A52D1B">
            <w:pPr>
              <w:pStyle w:val="TableBody"/>
              <w:spacing w:before="60" w:after="120" w:line="264" w:lineRule="auto"/>
            </w:pPr>
            <w:r w:rsidRPr="3FA42D95">
              <w:rPr>
                <w:lang w:val="en-AU"/>
              </w:rPr>
              <w:t>For extensions in SA, SA Water contributes 50</w:t>
            </w:r>
            <w:r w:rsidR="00610F8F">
              <w:rPr>
                <w:lang w:val="en-AU"/>
              </w:rPr>
              <w:t> </w:t>
            </w:r>
            <w:r w:rsidRPr="3FA42D95">
              <w:rPr>
                <w:lang w:val="en-AU"/>
              </w:rPr>
              <w:t>per</w:t>
            </w:r>
            <w:r w:rsidR="00610F8F">
              <w:rPr>
                <w:lang w:val="en-AU"/>
              </w:rPr>
              <w:t> </w:t>
            </w:r>
            <w:r w:rsidRPr="3FA42D95">
              <w:rPr>
                <w:lang w:val="en-AU"/>
              </w:rPr>
              <w:t xml:space="preserve">cent of material costs if the extension benefits regulated customers. Otherwise, the </w:t>
            </w:r>
            <w:r w:rsidR="00783281" w:rsidRPr="3FA42D95">
              <w:rPr>
                <w:lang w:val="en-AU"/>
              </w:rPr>
              <w:t xml:space="preserve">connection applicant </w:t>
            </w:r>
            <w:r w:rsidRPr="3FA42D95">
              <w:rPr>
                <w:lang w:val="en-AU"/>
              </w:rPr>
              <w:t>fully funds the extension.</w:t>
            </w:r>
          </w:p>
          <w:p w14:paraId="11912A25" w14:textId="53EA50CC" w:rsidR="00A52D1B" w:rsidRPr="00AB1C0C" w:rsidRDefault="00A52D1B" w:rsidP="00A52D1B">
            <w:pPr>
              <w:pStyle w:val="TableBody"/>
              <w:spacing w:before="60" w:after="60" w:line="264" w:lineRule="auto"/>
            </w:pPr>
            <w:r w:rsidRPr="6A4A0A98">
              <w:rPr>
                <w:lang w:val="en-AU"/>
              </w:rPr>
              <w:t xml:space="preserve">If SA Water requires pipework to be upsized to support future growth, it will pay the full materials cost of the difference between </w:t>
            </w:r>
            <w:r w:rsidR="00EE285A">
              <w:rPr>
                <w:lang w:val="en-AU"/>
              </w:rPr>
              <w:t>the</w:t>
            </w:r>
            <w:r w:rsidR="00E256D0">
              <w:t xml:space="preserve"> connection applicant’s</w:t>
            </w:r>
            <w:r w:rsidR="00E256D0" w:rsidRPr="6A4A0A98" w:rsidDel="00E256D0">
              <w:rPr>
                <w:lang w:val="en-AU"/>
              </w:rPr>
              <w:t xml:space="preserve"> </w:t>
            </w:r>
            <w:r w:rsidRPr="6A4A0A98">
              <w:rPr>
                <w:lang w:val="en-AU"/>
              </w:rPr>
              <w:t>minimum needs and the extra work SA Water requires.</w:t>
            </w:r>
          </w:p>
        </w:tc>
      </w:tr>
      <w:tr w:rsidR="00A52D1B" w:rsidRPr="00AB1C0C" w14:paraId="3BA691BE" w14:textId="77777777" w:rsidTr="3FA42D95">
        <w:trPr>
          <w:cnfStyle w:val="000000010000" w:firstRow="0" w:lastRow="0" w:firstColumn="0" w:lastColumn="0" w:oddVBand="0" w:evenVBand="0" w:oddHBand="0" w:evenHBand="1" w:firstRowFirstColumn="0" w:firstRowLastColumn="0" w:lastRowFirstColumn="0" w:lastRowLastColumn="0"/>
          <w:cantSplit/>
        </w:trPr>
        <w:tc>
          <w:tcPr>
            <w:tcW w:w="0" w:type="auto"/>
          </w:tcPr>
          <w:p w14:paraId="753F6F2D" w14:textId="77777777" w:rsidR="00A52D1B" w:rsidRPr="00AB1C0C" w:rsidRDefault="00A52D1B" w:rsidP="00A52D1B">
            <w:pPr>
              <w:pStyle w:val="TableBody"/>
              <w:spacing w:line="264" w:lineRule="auto"/>
            </w:pPr>
            <w:r w:rsidRPr="6A4A0A98">
              <w:rPr>
                <w:lang w:val="en-AU"/>
              </w:rPr>
              <w:t>Subsequent connections</w:t>
            </w:r>
          </w:p>
        </w:tc>
        <w:tc>
          <w:tcPr>
            <w:tcW w:w="0" w:type="auto"/>
          </w:tcPr>
          <w:p w14:paraId="1D98FE85" w14:textId="42A6D57B" w:rsidR="00A52D1B" w:rsidRPr="00AB1C0C" w:rsidRDefault="00A52D1B" w:rsidP="00A52D1B">
            <w:pPr>
              <w:pStyle w:val="TableBody"/>
              <w:spacing w:before="60" w:after="60" w:line="264" w:lineRule="auto"/>
            </w:pPr>
            <w:r w:rsidRPr="6A4A0A98">
              <w:rPr>
                <w:lang w:val="en-AU"/>
              </w:rPr>
              <w:t xml:space="preserve">If an out of sequence development pays for system extension costs, </w:t>
            </w:r>
            <w:proofErr w:type="gramStart"/>
            <w:r w:rsidRPr="6A4A0A98">
              <w:rPr>
                <w:lang w:val="en-AU"/>
              </w:rPr>
              <w:t>should</w:t>
            </w:r>
            <w:proofErr w:type="gramEnd"/>
            <w:r w:rsidRPr="6A4A0A98">
              <w:rPr>
                <w:lang w:val="en-AU"/>
              </w:rPr>
              <w:t xml:space="preserve"> subsequent in-fill connections pay a rebate to remove first mover disadvantage among </w:t>
            </w:r>
            <w:r w:rsidR="00E256D0">
              <w:t>connection applicants?</w:t>
            </w:r>
            <w:r w:rsidR="00E256D0" w:rsidRPr="6A4A0A98" w:rsidDel="00E256D0">
              <w:rPr>
                <w:lang w:val="en-AU"/>
              </w:rPr>
              <w:t xml:space="preserve"> </w:t>
            </w:r>
          </w:p>
        </w:tc>
        <w:tc>
          <w:tcPr>
            <w:tcW w:w="0" w:type="auto"/>
          </w:tcPr>
          <w:p w14:paraId="116900D2" w14:textId="77777777" w:rsidR="00A52D1B" w:rsidRPr="00AB1C0C" w:rsidRDefault="00A52D1B" w:rsidP="00A52D1B">
            <w:pPr>
              <w:pStyle w:val="TableBody"/>
              <w:spacing w:before="60" w:after="120" w:line="264" w:lineRule="auto"/>
            </w:pPr>
            <w:r w:rsidRPr="6A4A0A98">
              <w:rPr>
                <w:lang w:val="en-AU"/>
              </w:rPr>
              <w:t>Australian electricity distribution networks are subject to a pioneer rebate scheme for subsequent infill connections made within 7 years of the pioneer development subject to a $1,000 materiality threshold.</w:t>
            </w:r>
          </w:p>
          <w:p w14:paraId="04513D3A" w14:textId="77777777" w:rsidR="00A52D1B" w:rsidRPr="00AB1C0C" w:rsidRDefault="00A52D1B" w:rsidP="00A52D1B">
            <w:pPr>
              <w:pStyle w:val="TableBody"/>
              <w:spacing w:before="60" w:after="60" w:line="264" w:lineRule="auto"/>
            </w:pPr>
            <w:r w:rsidRPr="00AB1C0C">
              <w:t>Rebates may also be payable in certain circumstances for NSW water contributions.</w:t>
            </w:r>
          </w:p>
        </w:tc>
      </w:tr>
    </w:tbl>
    <w:p w14:paraId="296398B9" w14:textId="7ED3E143" w:rsidR="0073256F" w:rsidRPr="00A04A16" w:rsidRDefault="00A04A16" w:rsidP="002E689C">
      <w:pPr>
        <w:pStyle w:val="Figure-Table-BoxHeading"/>
        <w:spacing w:before="0" w:after="0" w:line="264" w:lineRule="auto"/>
        <w:ind w:left="0" w:firstLine="0"/>
      </w:pPr>
      <w:r w:rsidRPr="00A04A16">
        <w:t xml:space="preserve">Table </w:t>
      </w:r>
      <w:r w:rsidR="00E1670A">
        <w:t>A</w:t>
      </w:r>
      <w:r w:rsidRPr="00A04A16">
        <w:t>.1 continued</w:t>
      </w:r>
    </w:p>
    <w:p w14:paraId="2FA0E202" w14:textId="77777777" w:rsidR="00A86811" w:rsidRDefault="00A86811" w:rsidP="00FE7914">
      <w:pPr>
        <w:pStyle w:val="Heading3"/>
      </w:pPr>
      <w:bookmarkStart w:id="149" w:name="_Toc165561613"/>
      <w:bookmarkStart w:id="150" w:name="_Toc165818656"/>
      <w:bookmarkStart w:id="151" w:name="_Toc165820006"/>
      <w:bookmarkStart w:id="152" w:name="_Toc168330231"/>
      <w:bookmarkStart w:id="153" w:name="_Toc171596142"/>
      <w:bookmarkStart w:id="154" w:name="_Toc172017188"/>
      <w:bookmarkStart w:id="155" w:name="_Toc172902630"/>
      <w:bookmarkStart w:id="156" w:name="_Toc173487093"/>
    </w:p>
    <w:p w14:paraId="5D9E5A18" w14:textId="2432101D" w:rsidR="00F43520" w:rsidRDefault="00E1670A" w:rsidP="00FD6708">
      <w:pPr>
        <w:pStyle w:val="Heading3"/>
      </w:pPr>
      <w:bookmarkStart w:id="157" w:name="_Toc173844786"/>
      <w:bookmarkStart w:id="158" w:name="_Toc174348984"/>
      <w:r>
        <w:t>A.3.3</w:t>
      </w:r>
      <w:r>
        <w:tab/>
      </w:r>
      <w:r w:rsidR="00F43520">
        <w:t>Scope of attributable revenues</w:t>
      </w:r>
      <w:bookmarkEnd w:id="148"/>
      <w:bookmarkEnd w:id="149"/>
      <w:bookmarkEnd w:id="150"/>
      <w:bookmarkEnd w:id="151"/>
      <w:bookmarkEnd w:id="152"/>
      <w:bookmarkEnd w:id="153"/>
      <w:bookmarkEnd w:id="154"/>
      <w:bookmarkEnd w:id="155"/>
      <w:bookmarkEnd w:id="156"/>
      <w:bookmarkEnd w:id="157"/>
      <w:bookmarkEnd w:id="158"/>
      <w:r w:rsidR="00F43520">
        <w:t xml:space="preserve"> </w:t>
      </w:r>
    </w:p>
    <w:p w14:paraId="182E088A" w14:textId="5BEAE69F" w:rsidR="00F43520" w:rsidRDefault="00F43520" w:rsidP="00AB1C0C">
      <w:r>
        <w:t>A</w:t>
      </w:r>
      <w:r w:rsidR="00800EC2">
        <w:t xml:space="preserve"> </w:t>
      </w:r>
      <w:r w:rsidR="00732C99">
        <w:t>new</w:t>
      </w:r>
      <w:r w:rsidR="000B579D">
        <w:t xml:space="preserve"> customer contributions</w:t>
      </w:r>
      <w:r>
        <w:t xml:space="preserve"> regime must be clear on </w:t>
      </w:r>
      <w:r w:rsidR="00152191">
        <w:t>the</w:t>
      </w:r>
      <w:r>
        <w:t xml:space="preserve"> revenues </w:t>
      </w:r>
      <w:r w:rsidR="00BB7E0D">
        <w:t xml:space="preserve">to be </w:t>
      </w:r>
      <w:r>
        <w:t>paid by</w:t>
      </w:r>
      <w:r w:rsidR="00152191">
        <w:t xml:space="preserve"> each party invol</w:t>
      </w:r>
      <w:r w:rsidR="00443B57">
        <w:t>ved</w:t>
      </w:r>
      <w:r w:rsidDel="00152191">
        <w:t xml:space="preserve"> </w:t>
      </w:r>
      <w:r>
        <w:t>and how</w:t>
      </w:r>
      <w:r w:rsidR="001D6E58">
        <w:t xml:space="preserve"> they </w:t>
      </w:r>
      <w:r w:rsidR="00311901">
        <w:t>will be</w:t>
      </w:r>
      <w:r w:rsidR="008F1395">
        <w:t xml:space="preserve"> </w:t>
      </w:r>
      <w:r w:rsidR="001D6E58">
        <w:t>collected</w:t>
      </w:r>
      <w:r>
        <w:t>. A</w:t>
      </w:r>
      <w:r w:rsidR="006E3DDE">
        <w:t xml:space="preserve"> </w:t>
      </w:r>
      <w:r w:rsidR="001B4D76">
        <w:t>new</w:t>
      </w:r>
      <w:r w:rsidR="000B579D">
        <w:t xml:space="preserve"> customer contributions</w:t>
      </w:r>
      <w:r>
        <w:t xml:space="preserve"> regime may also attribute revenues to its </w:t>
      </w:r>
      <w:r w:rsidR="005B3CB1">
        <w:t>NCC</w:t>
      </w:r>
      <w:r w:rsidR="000B579D">
        <w:t>s</w:t>
      </w:r>
      <w:r w:rsidR="006E3DDE">
        <w:t xml:space="preserve"> </w:t>
      </w:r>
      <w:r>
        <w:t>calculation that include either:</w:t>
      </w:r>
    </w:p>
    <w:p w14:paraId="390A5898" w14:textId="77777777" w:rsidR="00F43520" w:rsidRDefault="00F43520" w:rsidP="00B83121">
      <w:pPr>
        <w:pStyle w:val="ListBullet"/>
      </w:pPr>
      <w:r>
        <w:t xml:space="preserve">upfront contributions only, or </w:t>
      </w:r>
    </w:p>
    <w:p w14:paraId="5CF59D7A" w14:textId="235D963F" w:rsidR="00F43520" w:rsidRDefault="00F43520" w:rsidP="00B83121">
      <w:pPr>
        <w:pStyle w:val="ListBullet"/>
      </w:pPr>
      <w:r>
        <w:t>both upfront contribution</w:t>
      </w:r>
      <w:r w:rsidR="009D2341">
        <w:t>s</w:t>
      </w:r>
      <w:r>
        <w:t xml:space="preserve"> and ongoing usage charges.</w:t>
      </w:r>
    </w:p>
    <w:p w14:paraId="55A73E7D" w14:textId="69875920" w:rsidR="00F43520" w:rsidRDefault="003B0A4B" w:rsidP="00AB1C0C">
      <w:r>
        <w:t>This</w:t>
      </w:r>
      <w:r w:rsidR="00F43520">
        <w:t xml:space="preserve"> needs to be consistent with the cost attribution approach and the regulated </w:t>
      </w:r>
      <w:r w:rsidR="00F43520" w:rsidRPr="00513430">
        <w:t>cost recovery mechanisms</w:t>
      </w:r>
      <w:r w:rsidR="00F43520">
        <w:t>.</w:t>
      </w:r>
    </w:p>
    <w:p w14:paraId="0C153434" w14:textId="70929593" w:rsidR="00AB1C0C" w:rsidRPr="00AB1C0C" w:rsidRDefault="00AB1C0C" w:rsidP="00492EF6">
      <w:pPr>
        <w:pStyle w:val="Pull-out"/>
        <w:keepNext/>
        <w:keepLines/>
      </w:pPr>
      <w:r w:rsidRPr="00AB1C0C">
        <w:rPr>
          <w:b/>
          <w:bCs/>
        </w:rPr>
        <w:lastRenderedPageBreak/>
        <w:t xml:space="preserve">Case studies. </w:t>
      </w:r>
      <w:r w:rsidRPr="00AB1C0C">
        <w:t>In NSW</w:t>
      </w:r>
      <w:r w:rsidR="00F476E8">
        <w:t>,</w:t>
      </w:r>
      <w:r w:rsidRPr="00AB1C0C">
        <w:t xml:space="preserve"> the IPART requires revenue projections</w:t>
      </w:r>
      <w:r w:rsidR="002F005E">
        <w:t xml:space="preserve"> </w:t>
      </w:r>
      <w:r w:rsidRPr="00AB1C0C">
        <w:t>based on charges under the prevailing IPART determination.</w:t>
      </w:r>
    </w:p>
    <w:p w14:paraId="2E7A841B" w14:textId="76678267" w:rsidR="00CA40FD" w:rsidRPr="00AB1C0C" w:rsidRDefault="00AB1C0C" w:rsidP="00492EF6">
      <w:pPr>
        <w:pStyle w:val="Pull-out"/>
      </w:pPr>
      <w:r w:rsidRPr="00AB1C0C">
        <w:t>Australia’s national regimes for gas and electricity connection require attribution of both upfront and ongoing revenues and specify how incremental revenues should be projected after the end of the present regulatory period. These require that:</w:t>
      </w:r>
    </w:p>
    <w:p w14:paraId="3A730628" w14:textId="77777777" w:rsidR="00896F0C" w:rsidRPr="00AB1C0C" w:rsidRDefault="00896F0C" w:rsidP="00492EF6">
      <w:pPr>
        <w:pStyle w:val="Pull-outBullet1"/>
      </w:pPr>
      <w:r w:rsidRPr="00AB1C0C">
        <w:t>assumptions to determine connection contributions are the same as those in a current revenue determination, for example, the discount rate used is to be the same as the regulated rate of return in the businesses’ current revenue determination</w:t>
      </w:r>
    </w:p>
    <w:p w14:paraId="69C01282" w14:textId="42812E00" w:rsidR="00896F0C" w:rsidRPr="00AB1C0C" w:rsidRDefault="00896F0C" w:rsidP="00492EF6">
      <w:pPr>
        <w:pStyle w:val="Pull-outBullet1"/>
      </w:pPr>
      <w:r w:rsidRPr="00AB1C0C">
        <w:t xml:space="preserve">prices used for the projected revenues beyond the current revenue determination period use a flat real price path with only </w:t>
      </w:r>
      <w:r>
        <w:t>inflation</w:t>
      </w:r>
      <w:r w:rsidRPr="00AB1C0C">
        <w:t xml:space="preserve"> escalation.</w:t>
      </w:r>
    </w:p>
    <w:p w14:paraId="22BE73E7" w14:textId="2F3497D3" w:rsidR="00F43520" w:rsidRDefault="00702C4E" w:rsidP="00B92471">
      <w:pPr>
        <w:pStyle w:val="Heading3"/>
      </w:pPr>
      <w:bookmarkStart w:id="159" w:name="_Toc164094430"/>
      <w:bookmarkStart w:id="160" w:name="_Toc165561614"/>
      <w:bookmarkStart w:id="161" w:name="_Toc165818657"/>
      <w:bookmarkStart w:id="162" w:name="_Toc165820007"/>
      <w:bookmarkStart w:id="163" w:name="_Toc168330233"/>
      <w:bookmarkStart w:id="164" w:name="_Toc171596143"/>
      <w:bookmarkStart w:id="165" w:name="_Toc172017189"/>
      <w:bookmarkStart w:id="166" w:name="_Toc172902631"/>
      <w:bookmarkStart w:id="167" w:name="_Toc173487094"/>
      <w:bookmarkStart w:id="168" w:name="_Toc173844787"/>
      <w:bookmarkStart w:id="169" w:name="_Toc174348985"/>
      <w:r>
        <w:t>A.3.4</w:t>
      </w:r>
      <w:r>
        <w:tab/>
      </w:r>
      <w:r w:rsidR="00F43520">
        <w:t>Relevant time horizon</w:t>
      </w:r>
      <w:bookmarkEnd w:id="159"/>
      <w:bookmarkEnd w:id="160"/>
      <w:bookmarkEnd w:id="161"/>
      <w:bookmarkEnd w:id="162"/>
      <w:bookmarkEnd w:id="163"/>
      <w:bookmarkEnd w:id="164"/>
      <w:bookmarkEnd w:id="165"/>
      <w:bookmarkEnd w:id="166"/>
      <w:bookmarkEnd w:id="167"/>
      <w:bookmarkEnd w:id="168"/>
      <w:bookmarkEnd w:id="169"/>
    </w:p>
    <w:p w14:paraId="7F7116F7" w14:textId="12F579F5" w:rsidR="00F43520" w:rsidRDefault="00F43520" w:rsidP="00AB1C0C">
      <w:r>
        <w:t xml:space="preserve">It is necessary to determine </w:t>
      </w:r>
      <w:r w:rsidR="006C3108">
        <w:t>the</w:t>
      </w:r>
      <w:r>
        <w:t xml:space="preserve"> time horizon </w:t>
      </w:r>
      <w:r w:rsidR="0089181F">
        <w:t xml:space="preserve">that </w:t>
      </w:r>
      <w:r>
        <w:t xml:space="preserve">costs and revenues (where ongoing usage revenues are accounted for) </w:t>
      </w:r>
      <w:r w:rsidR="002A5E06">
        <w:t xml:space="preserve">are </w:t>
      </w:r>
      <w:r>
        <w:t xml:space="preserve">assessed </w:t>
      </w:r>
      <w:r w:rsidDel="00095855">
        <w:t xml:space="preserve">over </w:t>
      </w:r>
      <w:r>
        <w:t>so that</w:t>
      </w:r>
      <w:r w:rsidR="00490E44">
        <w:t xml:space="preserve"> these </w:t>
      </w:r>
      <w:r w:rsidR="003D3D11">
        <w:t xml:space="preserve">horizons </w:t>
      </w:r>
      <w:r w:rsidR="00490E44">
        <w:t>are c</w:t>
      </w:r>
      <w:r w:rsidR="0083101F">
        <w:t>onsistently</w:t>
      </w:r>
      <w:r>
        <w:t xml:space="preserve">: </w:t>
      </w:r>
    </w:p>
    <w:p w14:paraId="308B0ED2" w14:textId="13BB2AC5" w:rsidR="00F43520" w:rsidRDefault="00F43520" w:rsidP="00B83121">
      <w:pPr>
        <w:pStyle w:val="ListBullet"/>
      </w:pPr>
      <w:r>
        <w:t xml:space="preserve">considered across different </w:t>
      </w:r>
      <w:r w:rsidR="00467785">
        <w:t>new customer contribution</w:t>
      </w:r>
      <w:r>
        <w:t xml:space="preserve"> calculations – unless specific connection service circumstances warrant departure</w:t>
      </w:r>
    </w:p>
    <w:p w14:paraId="61C46953" w14:textId="3FF97A98" w:rsidR="00F43520" w:rsidRDefault="00F43520" w:rsidP="00B83121">
      <w:pPr>
        <w:pStyle w:val="ListBullet"/>
      </w:pPr>
      <w:r>
        <w:t xml:space="preserve">applied to both costs and revenues when both form part of the </w:t>
      </w:r>
      <w:r w:rsidR="00413791">
        <w:t>new customer contributions</w:t>
      </w:r>
      <w:r w:rsidR="00A955A1">
        <w:t xml:space="preserve"> </w:t>
      </w:r>
      <w:r>
        <w:t>calculation.</w:t>
      </w:r>
    </w:p>
    <w:p w14:paraId="30E179D2" w14:textId="77777777" w:rsidR="00C502D8" w:rsidRDefault="00F43520" w:rsidP="00AB1C0C">
      <w:r>
        <w:t xml:space="preserve">Considerations in choosing this horizon can include: </w:t>
      </w:r>
    </w:p>
    <w:p w14:paraId="57243D0B" w14:textId="77777777" w:rsidR="00C502D8" w:rsidRDefault="00F43520" w:rsidP="001F0BD4">
      <w:pPr>
        <w:pStyle w:val="ListBullet"/>
      </w:pPr>
      <w:r>
        <w:t>the expected tenure of the customers’ connection point</w:t>
      </w:r>
    </w:p>
    <w:p w14:paraId="512758CD" w14:textId="03276AFC" w:rsidR="00C502D8" w:rsidRDefault="00F43520" w:rsidP="001F0BD4">
      <w:pPr>
        <w:pStyle w:val="ListBullet"/>
      </w:pPr>
      <w:r>
        <w:t>the length of development staging strategies</w:t>
      </w:r>
    </w:p>
    <w:p w14:paraId="3896A695" w14:textId="4D67EA43" w:rsidR="00C502D8" w:rsidRDefault="00F43520" w:rsidP="001F0BD4">
      <w:pPr>
        <w:pStyle w:val="ListBullet"/>
      </w:pPr>
      <w:r>
        <w:t>the businesses</w:t>
      </w:r>
      <w:r w:rsidR="000305FD">
        <w:t>’</w:t>
      </w:r>
      <w:r>
        <w:t xml:space="preserve"> growth planning horizon and life of assets involved in service provision</w:t>
      </w:r>
    </w:p>
    <w:p w14:paraId="561A811E" w14:textId="77777777" w:rsidR="000B43BF" w:rsidRDefault="00F43520" w:rsidP="001F0BD4">
      <w:pPr>
        <w:pStyle w:val="ListBullet"/>
      </w:pPr>
      <w:r>
        <w:t>the practicality of developing reliable forecasts for longer horizons</w:t>
      </w:r>
    </w:p>
    <w:p w14:paraId="3E253CE5" w14:textId="28577832" w:rsidR="000C7BF7" w:rsidRDefault="00F43520" w:rsidP="001F0BD4">
      <w:pPr>
        <w:pStyle w:val="ListBullet"/>
      </w:pPr>
      <w:r>
        <w:t>the level of demand predictability.</w:t>
      </w:r>
    </w:p>
    <w:p w14:paraId="6E8E29BB" w14:textId="4CDFD664" w:rsidR="00864225" w:rsidRPr="00AB1C0C" w:rsidRDefault="00864225" w:rsidP="00864225">
      <w:pPr>
        <w:keepNext/>
      </w:pPr>
      <w:r w:rsidRPr="00AB1C0C">
        <w:t xml:space="preserve">Our 2012 </w:t>
      </w:r>
      <w:r w:rsidR="00501087">
        <w:t>New</w:t>
      </w:r>
      <w:r w:rsidR="000B579D">
        <w:t xml:space="preserve"> customer contributions</w:t>
      </w:r>
      <w:r w:rsidRPr="00AB1C0C">
        <w:t xml:space="preserve"> guidance paper stated:</w:t>
      </w:r>
    </w:p>
    <w:p w14:paraId="5EE3D6E7" w14:textId="77777777" w:rsidR="00864225" w:rsidRPr="00AB1C0C" w:rsidRDefault="00864225" w:rsidP="00864225">
      <w:pPr>
        <w:pStyle w:val="Quote"/>
      </w:pPr>
      <w:r w:rsidRPr="00AB1C0C">
        <w:t xml:space="preserve">Incremental cost should be calculated over a period that aligns with the </w:t>
      </w:r>
      <w:r>
        <w:t>[water business’]</w:t>
      </w:r>
      <w:r w:rsidRPr="00AB1C0C">
        <w:t xml:space="preserve"> growth planning or asset utilisation horizons, and for operating costs this should be the same as the revenue assessment period.</w:t>
      </w:r>
      <w:r w:rsidRPr="00AB1C0C">
        <w:rPr>
          <w:vertAlign w:val="superscript"/>
        </w:rPr>
        <w:footnoteReference w:id="56"/>
      </w:r>
    </w:p>
    <w:p w14:paraId="46BF5574" w14:textId="70C388BD" w:rsidR="00864225" w:rsidRDefault="00864225" w:rsidP="00864225">
      <w:r w:rsidRPr="00AB1C0C">
        <w:lastRenderedPageBreak/>
        <w:t>That guidance specifi</w:t>
      </w:r>
      <w:r>
        <w:t>ed</w:t>
      </w:r>
      <w:r w:rsidRPr="00AB1C0C">
        <w:t xml:space="preserve"> a default assessment period of 30 years.</w:t>
      </w:r>
      <w:r w:rsidRPr="00AB1C0C">
        <w:rPr>
          <w:vertAlign w:val="superscript"/>
        </w:rPr>
        <w:footnoteReference w:id="57"/>
      </w:r>
    </w:p>
    <w:p w14:paraId="53F04A09" w14:textId="131520E1" w:rsidR="00AB1C0C" w:rsidRPr="00AB1C0C" w:rsidRDefault="00AB1C0C" w:rsidP="00492EF6">
      <w:pPr>
        <w:pStyle w:val="Pull-out"/>
      </w:pPr>
      <w:r w:rsidRPr="00AB1C0C">
        <w:rPr>
          <w:b/>
          <w:bCs/>
        </w:rPr>
        <w:t xml:space="preserve">Case studies. </w:t>
      </w:r>
      <w:r w:rsidRPr="00AB1C0C">
        <w:t>In NSW</w:t>
      </w:r>
      <w:r w:rsidR="002760CC">
        <w:t>,</w:t>
      </w:r>
      <w:r w:rsidRPr="00AB1C0C">
        <w:t xml:space="preserve"> the IPART requires that revenue projections be for 30 years. </w:t>
      </w:r>
    </w:p>
    <w:p w14:paraId="44550F7D" w14:textId="6DC205D7" w:rsidR="00AB1C0C" w:rsidRPr="00AB1C0C" w:rsidRDefault="00AB1C0C" w:rsidP="00492EF6">
      <w:pPr>
        <w:pStyle w:val="Pull-out"/>
      </w:pPr>
      <w:r w:rsidRPr="00AB1C0C">
        <w:t xml:space="preserve">Australia’s national electricity distribution connections regime provides guidance that this period be 30 years for a residential connection and 15 </w:t>
      </w:r>
      <w:r w:rsidR="00BF5D63">
        <w:t xml:space="preserve">years </w:t>
      </w:r>
      <w:r w:rsidRPr="00AB1C0C">
        <w:t xml:space="preserve">for a business connection, </w:t>
      </w:r>
      <w:r w:rsidR="00F867FD">
        <w:t>al</w:t>
      </w:r>
      <w:r w:rsidRPr="00AB1C0C">
        <w:t>though it affords businesses the ability to depart from this for business customers with reasons where special circumstances warrant it (</w:t>
      </w:r>
      <w:r w:rsidR="002C783C">
        <w:t>for example,</w:t>
      </w:r>
      <w:r w:rsidRPr="00AB1C0C">
        <w:t xml:space="preserve"> if a mine site has an extraction life of less than 15 years).</w:t>
      </w:r>
    </w:p>
    <w:p w14:paraId="05A9B5E3" w14:textId="06877E91" w:rsidR="00F43520" w:rsidRDefault="000F402E" w:rsidP="002E20F8">
      <w:pPr>
        <w:pStyle w:val="Heading3"/>
      </w:pPr>
      <w:bookmarkStart w:id="170" w:name="_Toc164094431"/>
      <w:bookmarkStart w:id="171" w:name="_Toc165561615"/>
      <w:bookmarkStart w:id="172" w:name="_Toc165818658"/>
      <w:bookmarkStart w:id="173" w:name="_Toc165820008"/>
      <w:bookmarkStart w:id="174" w:name="_Toc168330234"/>
      <w:bookmarkStart w:id="175" w:name="_Toc171596144"/>
      <w:bookmarkStart w:id="176" w:name="_Toc172017190"/>
      <w:bookmarkStart w:id="177" w:name="_Toc172902632"/>
      <w:bookmarkStart w:id="178" w:name="_Toc173487095"/>
      <w:bookmarkStart w:id="179" w:name="_Toc173844788"/>
      <w:bookmarkStart w:id="180" w:name="_Toc174348986"/>
      <w:r>
        <w:t>A.3.</w:t>
      </w:r>
      <w:r w:rsidR="0069601D">
        <w:t>5</w:t>
      </w:r>
      <w:r>
        <w:tab/>
      </w:r>
      <w:r w:rsidR="00F43520">
        <w:t>Efficient pricing signals</w:t>
      </w:r>
      <w:bookmarkEnd w:id="170"/>
      <w:bookmarkEnd w:id="171"/>
      <w:bookmarkEnd w:id="172"/>
      <w:bookmarkEnd w:id="173"/>
      <w:bookmarkEnd w:id="174"/>
      <w:bookmarkEnd w:id="175"/>
      <w:bookmarkEnd w:id="176"/>
      <w:bookmarkEnd w:id="177"/>
      <w:bookmarkEnd w:id="178"/>
      <w:bookmarkEnd w:id="179"/>
      <w:bookmarkEnd w:id="180"/>
    </w:p>
    <w:p w14:paraId="5AB375F1" w14:textId="569B33BD" w:rsidR="00F43520" w:rsidRDefault="00F43520" w:rsidP="00AB1C0C">
      <w:r>
        <w:t>As noted above, e</w:t>
      </w:r>
      <w:r w:rsidRPr="00696131">
        <w:t xml:space="preserve">fficient </w:t>
      </w:r>
      <w:r>
        <w:t>pricing</w:t>
      </w:r>
      <w:r w:rsidRPr="00696131">
        <w:t xml:space="preserve"> signals </w:t>
      </w:r>
      <w:r>
        <w:t xml:space="preserve">let the connection applicant know </w:t>
      </w:r>
      <w:r w:rsidR="00D15BA5">
        <w:t xml:space="preserve">the </w:t>
      </w:r>
      <w:r>
        <w:t xml:space="preserve">costs to provide </w:t>
      </w:r>
      <w:r w:rsidR="00324847">
        <w:t>different</w:t>
      </w:r>
      <w:r>
        <w:t xml:space="preserve"> services </w:t>
      </w:r>
      <w:r w:rsidR="00AA0D56">
        <w:t>depending on</w:t>
      </w:r>
      <w:r>
        <w:t xml:space="preserve"> the location and service capacity scale. </w:t>
      </w:r>
      <w:r w:rsidR="00AE1864">
        <w:t>P</w:t>
      </w:r>
      <w:r>
        <w:t>ricing signal</w:t>
      </w:r>
      <w:r w:rsidR="00AE1864">
        <w:t>s are efficient if the price</w:t>
      </w:r>
      <w:r w:rsidR="00841D36">
        <w:t xml:space="preserve"> of the service </w:t>
      </w:r>
      <w:r w:rsidR="002F1B81">
        <w:t xml:space="preserve">is </w:t>
      </w:r>
      <w:r w:rsidR="00611E60">
        <w:t xml:space="preserve">equal </w:t>
      </w:r>
      <w:r w:rsidR="00BF3F6F">
        <w:t>to</w:t>
      </w:r>
      <w:r w:rsidR="002F1B81">
        <w:t xml:space="preserve"> the </w:t>
      </w:r>
      <w:r>
        <w:t xml:space="preserve">marginal cost of </w:t>
      </w:r>
      <w:r w:rsidR="00774F5D">
        <w:t xml:space="preserve">providing </w:t>
      </w:r>
      <w:r w:rsidR="00113706">
        <w:t>the service</w:t>
      </w:r>
      <w:r>
        <w:t xml:space="preserve">. </w:t>
      </w:r>
    </w:p>
    <w:p w14:paraId="31C08C66" w14:textId="238D0CED" w:rsidR="00F43520" w:rsidRDefault="00F43520" w:rsidP="00AB1C0C">
      <w:r>
        <w:t>In water services</w:t>
      </w:r>
      <w:r w:rsidR="00034EA0">
        <w:t>,</w:t>
      </w:r>
      <w:r>
        <w:t xml:space="preserve"> key decisions that should be informed by marginal cost include the:</w:t>
      </w:r>
    </w:p>
    <w:p w14:paraId="42D6E378" w14:textId="77777777" w:rsidR="00F43520" w:rsidRDefault="00F43520" w:rsidP="00B83121">
      <w:pPr>
        <w:pStyle w:val="ListBullet"/>
      </w:pPr>
      <w:r>
        <w:t>upfront connection or augmentation decisions, and</w:t>
      </w:r>
    </w:p>
    <w:p w14:paraId="48E15832" w14:textId="77777777" w:rsidR="00F43520" w:rsidRDefault="00F43520" w:rsidP="00B83121">
      <w:pPr>
        <w:pStyle w:val="ListBullet"/>
      </w:pPr>
      <w:r>
        <w:t>ongoing decisions about the amount of the service consumed.</w:t>
      </w:r>
    </w:p>
    <w:p w14:paraId="08015BB2" w14:textId="1B1CAF02" w:rsidR="00F43520" w:rsidRDefault="0021757C" w:rsidP="00AB1C0C">
      <w:r>
        <w:t xml:space="preserve">Efficient </w:t>
      </w:r>
      <w:r w:rsidR="00F43520">
        <w:t xml:space="preserve">price signals benefit both existing customers and connection applicants. They help minimise total water service costs over time by ensuring connection services only occur </w:t>
      </w:r>
      <w:proofErr w:type="gramStart"/>
      <w:r w:rsidR="00F43520">
        <w:t>if and when</w:t>
      </w:r>
      <w:proofErr w:type="gramEnd"/>
      <w:r w:rsidR="00F43520">
        <w:t xml:space="preserve"> they are valued by customers.</w:t>
      </w:r>
    </w:p>
    <w:p w14:paraId="372773DC" w14:textId="77777777" w:rsidR="00F43520" w:rsidRPr="00202509" w:rsidRDefault="00F43520" w:rsidP="00AB1C0C">
      <w:pPr>
        <w:rPr>
          <w:u w:val="single"/>
        </w:rPr>
      </w:pPr>
      <w:r>
        <w:t>Behaviours that are supported through price signals for the connection applicants include:</w:t>
      </w:r>
    </w:p>
    <w:p w14:paraId="7F94A199" w14:textId="77777777" w:rsidR="00F43520" w:rsidRPr="000002A0" w:rsidRDefault="00F43520" w:rsidP="000A7423">
      <w:pPr>
        <w:pStyle w:val="ListBullet"/>
        <w:numPr>
          <w:ilvl w:val="0"/>
          <w:numId w:val="27"/>
        </w:numPr>
      </w:pPr>
      <w:r w:rsidRPr="000002A0">
        <w:t xml:space="preserve">locational choices informed by the cost of servicing those locations </w:t>
      </w:r>
    </w:p>
    <w:p w14:paraId="04087341" w14:textId="42C1AD4B" w:rsidR="00F43520" w:rsidRPr="000002A0" w:rsidRDefault="00F43520" w:rsidP="000A7423">
      <w:pPr>
        <w:pStyle w:val="ListBullet"/>
        <w:numPr>
          <w:ilvl w:val="0"/>
          <w:numId w:val="27"/>
        </w:numPr>
      </w:pPr>
      <w:r w:rsidRPr="000002A0">
        <w:t>orderly development decisions informed by the costs of extending or bringing forward growth investments out of sequence, which may be aided by pioneer scheme</w:t>
      </w:r>
      <w:r w:rsidR="007E6B07">
        <w:t>s</w:t>
      </w:r>
      <w:r w:rsidRPr="000002A0">
        <w:t xml:space="preserve"> to avoid first mover disadvantage among </w:t>
      </w:r>
      <w:r w:rsidR="00E256D0">
        <w:t>connection applicants</w:t>
      </w:r>
    </w:p>
    <w:p w14:paraId="533A4414" w14:textId="1FC678AE" w:rsidR="00F43520" w:rsidRPr="000002A0" w:rsidRDefault="00F43520" w:rsidP="000A7423">
      <w:pPr>
        <w:pStyle w:val="ListBullet"/>
        <w:numPr>
          <w:ilvl w:val="0"/>
          <w:numId w:val="27"/>
        </w:numPr>
      </w:pPr>
      <w:r w:rsidRPr="000002A0">
        <w:t>benefit and cost sharing which ensures existing customers can share in cost recovery of connection</w:t>
      </w:r>
      <w:r>
        <w:t xml:space="preserve"> </w:t>
      </w:r>
      <w:r w:rsidRPr="000002A0">
        <w:t>s</w:t>
      </w:r>
      <w:r>
        <w:t xml:space="preserve">ervices </w:t>
      </w:r>
      <w:r w:rsidRPr="000002A0">
        <w:t>to the extent that they benefit from those, and similarly, that efficient connections or augmentations are not discouraged th</w:t>
      </w:r>
      <w:r>
        <w:t>r</w:t>
      </w:r>
      <w:r w:rsidRPr="000002A0">
        <w:t xml:space="preserve">ough </w:t>
      </w:r>
      <w:r w:rsidR="001F1592">
        <w:t>new</w:t>
      </w:r>
      <w:r w:rsidR="000B579D">
        <w:t xml:space="preserve"> customer contributions</w:t>
      </w:r>
      <w:r w:rsidRPr="000002A0">
        <w:t xml:space="preserve"> that are higher than they need to be.</w:t>
      </w:r>
    </w:p>
    <w:p w14:paraId="7D528755" w14:textId="71902C8A" w:rsidR="00F43520" w:rsidRPr="00000E68" w:rsidRDefault="00F43520" w:rsidP="00AB1C0C">
      <w:r w:rsidRPr="00000E68">
        <w:t xml:space="preserve">For all customers </w:t>
      </w:r>
      <w:r>
        <w:t xml:space="preserve">it is important to </w:t>
      </w:r>
      <w:r w:rsidRPr="00000E68">
        <w:t xml:space="preserve">efficiently set </w:t>
      </w:r>
      <w:r w:rsidR="001F1592">
        <w:t>new</w:t>
      </w:r>
      <w:r w:rsidR="000B579D">
        <w:t xml:space="preserve"> customer contributions</w:t>
      </w:r>
      <w:r w:rsidRPr="00000E68">
        <w:t xml:space="preserve"> </w:t>
      </w:r>
      <w:r>
        <w:t xml:space="preserve">to </w:t>
      </w:r>
      <w:r w:rsidRPr="00000E68">
        <w:t>minimis</w:t>
      </w:r>
      <w:r>
        <w:t>e</w:t>
      </w:r>
      <w:r w:rsidRPr="00000E68">
        <w:t xml:space="preserve"> ongoing service usage charges</w:t>
      </w:r>
      <w:r>
        <w:t xml:space="preserve">. This will ensure ongoing decisions about the amount of the service to consume are not </w:t>
      </w:r>
      <w:r w:rsidRPr="00000E68">
        <w:t>distort</w:t>
      </w:r>
      <w:r>
        <w:t>ed</w:t>
      </w:r>
      <w:r w:rsidRPr="00000E68">
        <w:t xml:space="preserve"> by usage charges being higher than is efficient.</w:t>
      </w:r>
    </w:p>
    <w:p w14:paraId="621EC070" w14:textId="0513D736" w:rsidR="00AB1C0C" w:rsidRPr="00AB1C0C" w:rsidRDefault="00AB1C0C" w:rsidP="00676D17">
      <w:pPr>
        <w:pStyle w:val="Pull-out"/>
        <w:keepNext/>
        <w:keepLines/>
      </w:pPr>
      <w:r w:rsidRPr="00AB1C0C">
        <w:rPr>
          <w:b/>
          <w:bCs/>
        </w:rPr>
        <w:lastRenderedPageBreak/>
        <w:t>Case study</w:t>
      </w:r>
      <w:r w:rsidRPr="00AB1C0C">
        <w:t>. The Australian National Water Initiative Pricing Principles for urban water tariffs stat</w:t>
      </w:r>
      <w:r w:rsidR="000248CB">
        <w:t>e</w:t>
      </w:r>
      <w:r w:rsidRPr="00AB1C0C">
        <w:t>:</w:t>
      </w:r>
    </w:p>
    <w:p w14:paraId="50C96C91" w14:textId="6533D3CF" w:rsidR="00AB1C0C" w:rsidRPr="00AB1C0C" w:rsidRDefault="00AB1C0C" w:rsidP="00676D17">
      <w:pPr>
        <w:pStyle w:val="Pull-out"/>
      </w:pPr>
      <w:r w:rsidRPr="00AB1C0C">
        <w:t xml:space="preserve">Principle 7: Differential water charges </w:t>
      </w:r>
      <w:r w:rsidR="00AA5E91">
        <w:t>–</w:t>
      </w:r>
      <w:r w:rsidRPr="00AB1C0C">
        <w:t xml:space="preserve"> Water charges should be differentiated by the cost of servicing different customers (for example, </w:t>
      </w:r>
      <w:proofErr w:type="gramStart"/>
      <w:r w:rsidRPr="00AB1C0C">
        <w:t>on the basis of</w:t>
      </w:r>
      <w:proofErr w:type="gramEnd"/>
      <w:r w:rsidRPr="00AB1C0C">
        <w:t xml:space="preserve"> location and service standards) where there are benefits in doing so and where it can be shown that these benefits outweigh the costs of identifying differences and the equity advantages of alternatives.</w:t>
      </w:r>
    </w:p>
    <w:p w14:paraId="5A56D562" w14:textId="60E30A4E" w:rsidR="00AB1C0C" w:rsidRPr="00AB1C0C" w:rsidRDefault="00AB1C0C" w:rsidP="00676D17">
      <w:pPr>
        <w:pStyle w:val="Pull-out"/>
      </w:pPr>
      <w:r w:rsidRPr="00AB1C0C">
        <w:t xml:space="preserve">Notes: Differential pricing may be achieved by upfront contributions, including </w:t>
      </w:r>
      <w:r w:rsidR="00780271">
        <w:t>new</w:t>
      </w:r>
      <w:r w:rsidR="000B579D">
        <w:t xml:space="preserve"> customer contributions</w:t>
      </w:r>
      <w:r w:rsidRPr="00AB1C0C">
        <w:t>.</w:t>
      </w:r>
    </w:p>
    <w:p w14:paraId="50450138" w14:textId="1F422BF9" w:rsidR="00F43520" w:rsidRDefault="00427D14" w:rsidP="00B946F3">
      <w:pPr>
        <w:pStyle w:val="Heading3"/>
      </w:pPr>
      <w:bookmarkStart w:id="181" w:name="_Ref158282260"/>
      <w:bookmarkStart w:id="182" w:name="_Toc164094432"/>
      <w:bookmarkStart w:id="183" w:name="_Toc165561616"/>
      <w:bookmarkStart w:id="184" w:name="_Toc165818659"/>
      <w:bookmarkStart w:id="185" w:name="_Toc165820009"/>
      <w:bookmarkStart w:id="186" w:name="_Toc168330235"/>
      <w:bookmarkStart w:id="187" w:name="_Toc171596145"/>
      <w:bookmarkStart w:id="188" w:name="_Toc172017191"/>
      <w:bookmarkStart w:id="189" w:name="_Toc172902633"/>
      <w:bookmarkStart w:id="190" w:name="_Toc173487096"/>
      <w:bookmarkStart w:id="191" w:name="_Toc173844789"/>
      <w:bookmarkStart w:id="192" w:name="_Toc174348987"/>
      <w:r>
        <w:t>A.3.6</w:t>
      </w:r>
      <w:r>
        <w:tab/>
      </w:r>
      <w:r w:rsidR="00F43520">
        <w:t>Efficient pricing bands</w:t>
      </w:r>
      <w:bookmarkEnd w:id="181"/>
      <w:bookmarkEnd w:id="182"/>
      <w:bookmarkEnd w:id="183"/>
      <w:bookmarkEnd w:id="184"/>
      <w:bookmarkEnd w:id="185"/>
      <w:bookmarkEnd w:id="186"/>
      <w:bookmarkEnd w:id="187"/>
      <w:bookmarkEnd w:id="188"/>
      <w:bookmarkEnd w:id="189"/>
      <w:bookmarkEnd w:id="190"/>
      <w:bookmarkEnd w:id="191"/>
      <w:bookmarkEnd w:id="192"/>
    </w:p>
    <w:p w14:paraId="024C9B69" w14:textId="77777777" w:rsidR="00F43520" w:rsidRDefault="00F43520" w:rsidP="00AB1C0C">
      <w:r>
        <w:t>Water businesses’ services involve shared use of very large assets with significant fixed costs, and often large infrequent investments in growth and capacity. In practice this means that:</w:t>
      </w:r>
    </w:p>
    <w:p w14:paraId="4FF2CB5C" w14:textId="2639D421" w:rsidR="00F43520" w:rsidRDefault="00117E2F" w:rsidP="00B83121">
      <w:pPr>
        <w:pStyle w:val="ListBullet"/>
      </w:pPr>
      <w:r>
        <w:t>t</w:t>
      </w:r>
      <w:r w:rsidR="00F43520">
        <w:t>he marginal costs envisaged in the efficient price signals will require judgement and assumptions to estimate.</w:t>
      </w:r>
    </w:p>
    <w:p w14:paraId="30705574" w14:textId="138BBAC7" w:rsidR="00F43520" w:rsidRDefault="00117E2F" w:rsidP="00B83121">
      <w:pPr>
        <w:pStyle w:val="ListBullet"/>
      </w:pPr>
      <w:r>
        <w:t>t</w:t>
      </w:r>
      <w:r w:rsidR="00F43520">
        <w:t>he shared and fixed costs also need to be recovered, to ensure that the business recovers its total costs and remains financially viable.</w:t>
      </w:r>
    </w:p>
    <w:p w14:paraId="608B0321" w14:textId="039F270C" w:rsidR="00F43520" w:rsidRDefault="00457E45" w:rsidP="00AB1C0C">
      <w:r>
        <w:t>T</w:t>
      </w:r>
      <w:r w:rsidR="00F43520">
        <w:t xml:space="preserve">his means both upfront and ongoing prices </w:t>
      </w:r>
      <w:r w:rsidR="00C94DC9">
        <w:t>are</w:t>
      </w:r>
      <w:r w:rsidR="00F43520">
        <w:t xml:space="preserve"> informed by judgment about customers</w:t>
      </w:r>
      <w:r w:rsidR="003F3B51">
        <w:t>’</w:t>
      </w:r>
      <w:r w:rsidR="0041270C">
        <w:t xml:space="preserve"> (</w:t>
      </w:r>
      <w:r w:rsidR="00983B8C">
        <w:t>connection applicants</w:t>
      </w:r>
      <w:r w:rsidR="00983B8C" w:rsidDel="00983B8C">
        <w:t xml:space="preserve"> </w:t>
      </w:r>
      <w:r w:rsidR="0041270C">
        <w:t xml:space="preserve">and </w:t>
      </w:r>
      <w:r w:rsidR="000E7602">
        <w:t>water and sewerage customers</w:t>
      </w:r>
      <w:r w:rsidR="00423AED">
        <w:t>)</w:t>
      </w:r>
      <w:r w:rsidR="00F43520">
        <w:t xml:space="preserve"> share of fixed versus variable costs. In recognition of this need for judgment and broad range of </w:t>
      </w:r>
      <w:r w:rsidR="00105DDC">
        <w:t xml:space="preserve">possible </w:t>
      </w:r>
      <w:r w:rsidR="00F43520">
        <w:t>outcomes, regulatory regimes often</w:t>
      </w:r>
      <w:r w:rsidR="00F43520" w:rsidDel="00762E8B">
        <w:t xml:space="preserve"> </w:t>
      </w:r>
      <w:r w:rsidR="00F43520">
        <w:t>apply the efficient price bounds test as an additional customer protection to avoid uneconomic levels of cross-subsidy.</w:t>
      </w:r>
    </w:p>
    <w:p w14:paraId="5003E779" w14:textId="4D8687B4" w:rsidR="00F43520" w:rsidRDefault="00F43520" w:rsidP="00AB1C0C">
      <w:r>
        <w:t xml:space="preserve">These bounds </w:t>
      </w:r>
      <w:r w:rsidR="006513BB">
        <w:t>restrict efficient</w:t>
      </w:r>
      <w:r>
        <w:t xml:space="preserve"> prices </w:t>
      </w:r>
      <w:r w:rsidR="006513BB">
        <w:t>to</w:t>
      </w:r>
      <w:r>
        <w:t xml:space="preserve"> fall between:</w:t>
      </w:r>
    </w:p>
    <w:p w14:paraId="40D3E8AB" w14:textId="4DCF611E" w:rsidR="00F43520" w:rsidRDefault="00237263" w:rsidP="00B83121">
      <w:pPr>
        <w:pStyle w:val="ListBullet"/>
      </w:pPr>
      <w:r>
        <w:t xml:space="preserve">a </w:t>
      </w:r>
      <w:r w:rsidR="00F43520">
        <w:t>lower pricing bound of avoidable cost, and</w:t>
      </w:r>
    </w:p>
    <w:p w14:paraId="1C91CE8D" w14:textId="542D6A95" w:rsidR="00F43520" w:rsidRDefault="00237263" w:rsidP="00B83121">
      <w:pPr>
        <w:pStyle w:val="ListBullet"/>
      </w:pPr>
      <w:r>
        <w:t xml:space="preserve">an </w:t>
      </w:r>
      <w:r w:rsidR="00F43520">
        <w:t>upper pricing bound of standalone cost.</w:t>
      </w:r>
    </w:p>
    <w:p w14:paraId="20ADB651" w14:textId="6D0B0C2F" w:rsidR="00F43520" w:rsidRDefault="00F43520" w:rsidP="00AB1C0C">
      <w:r>
        <w:t xml:space="preserve">Pricing within the standalone and avoidable cost </w:t>
      </w:r>
      <w:r w:rsidR="00536262">
        <w:t xml:space="preserve">boundaries </w:t>
      </w:r>
      <w:r>
        <w:t>ensures</w:t>
      </w:r>
      <w:r w:rsidDel="00F975EC">
        <w:t xml:space="preserve"> </w:t>
      </w:r>
      <w:r>
        <w:t xml:space="preserve">no inefficient economic cross-subsidies </w:t>
      </w:r>
      <w:r w:rsidR="005B1275">
        <w:t>occur</w:t>
      </w:r>
      <w:r>
        <w:t xml:space="preserve"> within the prices </w:t>
      </w:r>
      <w:r w:rsidR="003F4E9C">
        <w:t xml:space="preserve">for the following </w:t>
      </w:r>
      <w:r w:rsidDel="00891F03">
        <w:t>reasons</w:t>
      </w:r>
      <w:r>
        <w:t xml:space="preserve">: </w:t>
      </w:r>
    </w:p>
    <w:p w14:paraId="4337F2A7" w14:textId="44F6916D" w:rsidR="00F43520" w:rsidRDefault="00F43520" w:rsidP="00B83121">
      <w:pPr>
        <w:pStyle w:val="ListBullet"/>
      </w:pPr>
      <w:r>
        <w:t xml:space="preserve">If customers were to pay above the standalone cost, it would be in those customers interests to switch to an alternative provider or service solution. It would also be economically feasible for an alternative service provider or solution to operate. This creates the possibility of inefficient bypass of the existing infrastructure. </w:t>
      </w:r>
    </w:p>
    <w:p w14:paraId="5464D778" w14:textId="77777777" w:rsidR="00F43520" w:rsidRDefault="00F43520" w:rsidP="00B83121">
      <w:pPr>
        <w:pStyle w:val="ListBullet"/>
      </w:pPr>
      <w:r>
        <w:t xml:space="preserve">If customers were to pay below the business’ avoidable cost, it would be economically beneficial for the business to stop supplying the customers as the associated costs would exceed the revenue obtained from the customer, and other customers must necessarily be subsidising them at inefficient levels. </w:t>
      </w:r>
    </w:p>
    <w:p w14:paraId="3BAAF887" w14:textId="49967CC1" w:rsidR="00AB1C0C" w:rsidRPr="00AB1C0C" w:rsidRDefault="00AB1C0C" w:rsidP="00676D17">
      <w:pPr>
        <w:pStyle w:val="Pull-out"/>
      </w:pPr>
      <w:r w:rsidRPr="00AB1C0C">
        <w:rPr>
          <w:b/>
          <w:bCs/>
        </w:rPr>
        <w:lastRenderedPageBreak/>
        <w:t>Case studies</w:t>
      </w:r>
      <w:r w:rsidRPr="00AB1C0C">
        <w:t xml:space="preserve">. </w:t>
      </w:r>
      <w:r w:rsidR="00764578">
        <w:t>Our</w:t>
      </w:r>
      <w:r w:rsidRPr="00AB1C0C">
        <w:t xml:space="preserve"> current </w:t>
      </w:r>
      <w:r w:rsidR="00B01BA3">
        <w:t>new</w:t>
      </w:r>
      <w:r w:rsidR="000B579D">
        <w:t xml:space="preserve"> customer contributions</w:t>
      </w:r>
      <w:r w:rsidRPr="00AB1C0C">
        <w:t xml:space="preserve"> guidance</w:t>
      </w:r>
      <w:r w:rsidR="006C39BD">
        <w:t xml:space="preserve"> (Explanatory Note</w:t>
      </w:r>
      <w:r w:rsidR="00386D33">
        <w:t xml:space="preserve"> 201</w:t>
      </w:r>
      <w:r w:rsidR="00933C64">
        <w:t>3</w:t>
      </w:r>
      <w:r w:rsidR="0072039B">
        <w:t xml:space="preserve"> and 2023 </w:t>
      </w:r>
      <w:r w:rsidR="00A70BAC">
        <w:t>guidance paper on water price reviews</w:t>
      </w:r>
      <w:r w:rsidR="00386D33">
        <w:t>)</w:t>
      </w:r>
      <w:r w:rsidRPr="00AB1C0C">
        <w:t xml:space="preserve"> applies these efficient pricing bounds to </w:t>
      </w:r>
      <w:r w:rsidR="00B01BA3">
        <w:t>new</w:t>
      </w:r>
      <w:r w:rsidR="000B579D">
        <w:t xml:space="preserve"> customer contributions</w:t>
      </w:r>
      <w:r w:rsidRPr="00AB1C0C">
        <w:t>, and they are likewise applied in:</w:t>
      </w:r>
    </w:p>
    <w:p w14:paraId="290D1608" w14:textId="2F938133" w:rsidR="00AB1C0C" w:rsidRPr="00AB1C0C" w:rsidRDefault="00764578" w:rsidP="0095150F">
      <w:pPr>
        <w:pStyle w:val="Pull-outBullet1"/>
      </w:pPr>
      <w:r>
        <w:t>t</w:t>
      </w:r>
      <w:r w:rsidR="00AB1C0C" w:rsidRPr="00AB1C0C">
        <w:t xml:space="preserve">he pricing principles that </w:t>
      </w:r>
      <w:r>
        <w:t>we</w:t>
      </w:r>
      <w:r w:rsidR="00AB1C0C" w:rsidRPr="00AB1C0C">
        <w:t xml:space="preserve"> must apply when regulating the Port of Melbourne</w:t>
      </w:r>
      <w:r w:rsidR="00AB1C0C" w:rsidRPr="00AB1C0C">
        <w:rPr>
          <w:vertAlign w:val="superscript"/>
        </w:rPr>
        <w:footnoteReference w:id="58"/>
      </w:r>
    </w:p>
    <w:p w14:paraId="7612F337" w14:textId="77777777" w:rsidR="00AB1C0C" w:rsidRPr="00AB1C0C" w:rsidRDefault="00AB1C0C" w:rsidP="00676D17">
      <w:pPr>
        <w:pStyle w:val="Pull-outBullet1"/>
      </w:pPr>
      <w:r w:rsidRPr="00AB1C0C">
        <w:t>Australia’s national gas distribution pricing rules</w:t>
      </w:r>
      <w:r w:rsidRPr="00AB1C0C">
        <w:rPr>
          <w:vertAlign w:val="superscript"/>
        </w:rPr>
        <w:footnoteReference w:id="59"/>
      </w:r>
    </w:p>
    <w:p w14:paraId="50097BAB" w14:textId="1C116D48" w:rsidR="00AB1C0C" w:rsidRPr="00AB1C0C" w:rsidRDefault="00AB1C0C" w:rsidP="00676D17">
      <w:pPr>
        <w:pStyle w:val="Pull-outBullet1"/>
      </w:pPr>
      <w:r w:rsidRPr="00AB1C0C">
        <w:t>Australia’s national electricity distribution pricing rules</w:t>
      </w:r>
      <w:r w:rsidR="00EE2D07">
        <w:t>.</w:t>
      </w:r>
      <w:r w:rsidRPr="00AB1C0C">
        <w:rPr>
          <w:vertAlign w:val="superscript"/>
        </w:rPr>
        <w:footnoteReference w:id="60"/>
      </w:r>
    </w:p>
    <w:p w14:paraId="16DA1E2C" w14:textId="0516C288" w:rsidR="00F43520" w:rsidRDefault="00427D14" w:rsidP="00EE2D07">
      <w:pPr>
        <w:pStyle w:val="Heading3"/>
      </w:pPr>
      <w:bookmarkStart w:id="193" w:name="_Toc164094433"/>
      <w:bookmarkStart w:id="194" w:name="_Toc165561617"/>
      <w:bookmarkStart w:id="195" w:name="_Toc165818660"/>
      <w:bookmarkStart w:id="196" w:name="_Toc165820010"/>
      <w:bookmarkStart w:id="197" w:name="_Toc168330236"/>
      <w:bookmarkStart w:id="198" w:name="_Toc171596146"/>
      <w:bookmarkStart w:id="199" w:name="_Toc172017192"/>
      <w:bookmarkStart w:id="200" w:name="_Toc172902634"/>
      <w:bookmarkStart w:id="201" w:name="_Toc173487097"/>
      <w:bookmarkStart w:id="202" w:name="_Toc173844790"/>
      <w:bookmarkStart w:id="203" w:name="_Toc174348988"/>
      <w:r>
        <w:t>A.3.7</w:t>
      </w:r>
      <w:r>
        <w:tab/>
      </w:r>
      <w:r w:rsidR="00F43520">
        <w:t>Cashflow outcomes</w:t>
      </w:r>
      <w:bookmarkEnd w:id="193"/>
      <w:bookmarkEnd w:id="194"/>
      <w:bookmarkEnd w:id="195"/>
      <w:bookmarkEnd w:id="196"/>
      <w:bookmarkEnd w:id="197"/>
      <w:bookmarkEnd w:id="198"/>
      <w:bookmarkEnd w:id="199"/>
      <w:bookmarkEnd w:id="200"/>
      <w:bookmarkEnd w:id="201"/>
      <w:bookmarkEnd w:id="202"/>
      <w:bookmarkEnd w:id="203"/>
      <w:r w:rsidR="00F43520">
        <w:t xml:space="preserve"> </w:t>
      </w:r>
    </w:p>
    <w:p w14:paraId="48C449A9" w14:textId="58D05AE3" w:rsidR="00F43520" w:rsidRDefault="00817D53" w:rsidP="00AB1C0C">
      <w:r>
        <w:t>By determining</w:t>
      </w:r>
      <w:r w:rsidR="00383BB8">
        <w:t xml:space="preserve"> the share of </w:t>
      </w:r>
      <w:r w:rsidR="00313560">
        <w:t xml:space="preserve">costs recovered upfront and the </w:t>
      </w:r>
      <w:r w:rsidR="00934D26">
        <w:t>share of costs recovered over time,</w:t>
      </w:r>
      <w:r w:rsidR="003352F4">
        <w:t xml:space="preserve"> </w:t>
      </w:r>
      <w:r w:rsidR="00F43520">
        <w:t>the c</w:t>
      </w:r>
      <w:r w:rsidR="00F43520" w:rsidRPr="003F2978">
        <w:t>ost recovery threshold</w:t>
      </w:r>
      <w:r w:rsidR="00F43520">
        <w:t xml:space="preserve"> and resulting </w:t>
      </w:r>
      <w:r w:rsidR="00B01BA3">
        <w:t>new</w:t>
      </w:r>
      <w:r w:rsidR="000B579D">
        <w:t xml:space="preserve"> customer contributions</w:t>
      </w:r>
      <w:r w:rsidR="00F43520">
        <w:t xml:space="preserve"> affect</w:t>
      </w:r>
      <w:r w:rsidR="00CE1C6F">
        <w:t>s</w:t>
      </w:r>
      <w:r w:rsidR="00F43520">
        <w:t xml:space="preserve"> a </w:t>
      </w:r>
      <w:r w:rsidR="00AB1C0C" w:rsidRPr="00AB1C0C">
        <w:t xml:space="preserve">business’ </w:t>
      </w:r>
      <w:r w:rsidR="007D7170">
        <w:t>medium to long</w:t>
      </w:r>
      <w:r w:rsidR="00DD2EB2">
        <w:t xml:space="preserve">-term </w:t>
      </w:r>
      <w:r w:rsidR="00AB1C0C" w:rsidRPr="00AB1C0C">
        <w:t>cashflows.</w:t>
      </w:r>
      <w:r w:rsidR="00F43520">
        <w:t xml:space="preserve"> </w:t>
      </w:r>
      <w:r w:rsidR="000905CC">
        <w:t>I</w:t>
      </w:r>
      <w:r w:rsidR="00F43520">
        <w:t xml:space="preserve">f </w:t>
      </w:r>
      <w:r w:rsidR="00B55865">
        <w:t>the</w:t>
      </w:r>
      <w:r w:rsidR="00F43520">
        <w:t xml:space="preserve"> relative weight of upfront versus ongoing cost recovery is not being sustainably managed over time</w:t>
      </w:r>
      <w:r w:rsidR="00DC027C">
        <w:t xml:space="preserve">, a </w:t>
      </w:r>
      <w:r w:rsidR="00D909A1">
        <w:t>business’</w:t>
      </w:r>
      <w:r w:rsidR="00F0545A">
        <w:t xml:space="preserve"> financial position can be affected</w:t>
      </w:r>
      <w:r w:rsidR="00F43520">
        <w:t xml:space="preserve">. </w:t>
      </w:r>
    </w:p>
    <w:p w14:paraId="2D4AC3C5" w14:textId="77777777" w:rsidR="00F43520" w:rsidRDefault="00F43520" w:rsidP="00676D17">
      <w:pPr>
        <w:pStyle w:val="Pull-out"/>
      </w:pPr>
      <w:r>
        <w:t>The cashflow implications can be illustrated by the book end examples:</w:t>
      </w:r>
    </w:p>
    <w:p w14:paraId="28451B35" w14:textId="1645E7D5" w:rsidR="00F43520" w:rsidRDefault="00F43520" w:rsidP="00676D17">
      <w:pPr>
        <w:pStyle w:val="Pull-out"/>
      </w:pPr>
      <w:r>
        <w:t xml:space="preserve">If a business relied solely on upfront payments, when </w:t>
      </w:r>
      <w:r w:rsidR="00BE0119">
        <w:t xml:space="preserve">the </w:t>
      </w:r>
      <w:r>
        <w:t>time c</w:t>
      </w:r>
      <w:r w:rsidR="00686226">
        <w:t>omes</w:t>
      </w:r>
      <w:r>
        <w:t xml:space="preserve"> for replacing those assets it would need capital </w:t>
      </w:r>
      <w:r w:rsidR="00A503A5">
        <w:t>to pay for the assets</w:t>
      </w:r>
      <w:r>
        <w:t>. Often businesses rely on their depreciation allowance as a source of capital to fund capex renewals, along with debt funding. Depending on the scale of capex renewals required, the business may have to seek equity funding.</w:t>
      </w:r>
    </w:p>
    <w:p w14:paraId="7E319465" w14:textId="2088EA32" w:rsidR="00F43520" w:rsidRDefault="00F43520" w:rsidP="00676D17">
      <w:pPr>
        <w:pStyle w:val="Pull-out"/>
      </w:pPr>
      <w:r>
        <w:t>If a business relied solely on ongoing charges</w:t>
      </w:r>
      <w:r w:rsidR="006E6162">
        <w:t>,</w:t>
      </w:r>
      <w:r>
        <w:t xml:space="preserve"> depreciating all the investment over say 85 years, it may not have the cashflows needed to sustain large growth investments when they occur. Again, the business may need to draw down debt and / or </w:t>
      </w:r>
      <w:r w:rsidR="00CA4572">
        <w:t>rely</w:t>
      </w:r>
      <w:r w:rsidR="00D2632A">
        <w:t xml:space="preserve"> on</w:t>
      </w:r>
      <w:r>
        <w:t xml:space="preserve"> an equity injection.</w:t>
      </w:r>
    </w:p>
    <w:p w14:paraId="4F16E638" w14:textId="250B3F99" w:rsidR="00F43520" w:rsidRDefault="00F43520" w:rsidP="00AB1C0C">
      <w:r>
        <w:t>For these reasons</w:t>
      </w:r>
      <w:r w:rsidR="007B2001">
        <w:t>,</w:t>
      </w:r>
      <w:r>
        <w:t xml:space="preserve"> businesses need to consider their </w:t>
      </w:r>
      <w:r w:rsidR="00B01BA3">
        <w:t>new</w:t>
      </w:r>
      <w:r w:rsidR="000B579D">
        <w:t xml:space="preserve"> customer contributions</w:t>
      </w:r>
      <w:r>
        <w:t xml:space="preserve"> within the context of their long-term asset plans and long-term financing strategies.</w:t>
      </w:r>
    </w:p>
    <w:p w14:paraId="3C8AD22D" w14:textId="015F7F1F" w:rsidR="00AB1C0C" w:rsidRPr="00AB1C0C" w:rsidRDefault="00AB1C0C" w:rsidP="00AB1C0C">
      <w:r w:rsidRPr="00AB1C0C">
        <w:t xml:space="preserve">To date, in addition to the cashflow interplay between upfront recoveries </w:t>
      </w:r>
      <w:r w:rsidR="00CA08AA">
        <w:t>and</w:t>
      </w:r>
      <w:r w:rsidR="00CA08AA" w:rsidRPr="00AB1C0C">
        <w:t xml:space="preserve"> </w:t>
      </w:r>
      <w:r w:rsidRPr="00AB1C0C">
        <w:t>RAB recoveries over time, the level of upfront contributions also affect</w:t>
      </w:r>
      <w:r w:rsidR="00EF1EC2">
        <w:t>s</w:t>
      </w:r>
      <w:r w:rsidRPr="00AB1C0C">
        <w:t xml:space="preserve"> the amount of tax compensation allowed in the </w:t>
      </w:r>
      <w:r w:rsidRPr="00AB1C0C">
        <w:lastRenderedPageBreak/>
        <w:t>building block revenue requirement. This approach relie</w:t>
      </w:r>
      <w:r w:rsidR="008740D1">
        <w:t>s</w:t>
      </w:r>
      <w:r w:rsidRPr="00AB1C0C">
        <w:t xml:space="preserve"> on capital contributions being treated as revenue for taxation purposes.</w:t>
      </w:r>
      <w:r w:rsidR="00215243">
        <w:rPr>
          <w:rStyle w:val="FootnoteReference"/>
        </w:rPr>
        <w:footnoteReference w:id="61"/>
      </w:r>
      <w:r w:rsidRPr="00AB1C0C">
        <w:t xml:space="preserve"> </w:t>
      </w:r>
    </w:p>
    <w:p w14:paraId="34ADEE67" w14:textId="72270D3F" w:rsidR="00F43520" w:rsidRDefault="009402F3" w:rsidP="00EE2D07">
      <w:pPr>
        <w:pStyle w:val="Heading2"/>
      </w:pPr>
      <w:bookmarkStart w:id="204" w:name="_Toc164094434"/>
      <w:bookmarkStart w:id="205" w:name="_Toc165561618"/>
      <w:bookmarkStart w:id="206" w:name="_Toc165818661"/>
      <w:bookmarkStart w:id="207" w:name="_Toc165820011"/>
      <w:bookmarkStart w:id="208" w:name="_Toc168330237"/>
      <w:bookmarkStart w:id="209" w:name="_Toc173487098"/>
      <w:bookmarkStart w:id="210" w:name="_Toc174348989"/>
      <w:r>
        <w:t>A.4</w:t>
      </w:r>
      <w:r>
        <w:tab/>
      </w:r>
      <w:r w:rsidR="00F43520">
        <w:t>Key trade-offs</w:t>
      </w:r>
      <w:bookmarkEnd w:id="204"/>
      <w:bookmarkEnd w:id="205"/>
      <w:bookmarkEnd w:id="206"/>
      <w:bookmarkEnd w:id="207"/>
      <w:bookmarkEnd w:id="208"/>
      <w:bookmarkEnd w:id="209"/>
      <w:bookmarkEnd w:id="210"/>
    </w:p>
    <w:p w14:paraId="0F9FA808" w14:textId="2CECC9FA" w:rsidR="00F43520" w:rsidRDefault="00B348EE" w:rsidP="00AB1C0C">
      <w:r>
        <w:t>T</w:t>
      </w:r>
      <w:r w:rsidR="00F43520">
        <w:t xml:space="preserve">he design and administration of </w:t>
      </w:r>
      <w:r w:rsidR="00A351FF">
        <w:t>new</w:t>
      </w:r>
      <w:r w:rsidR="000B579D">
        <w:t xml:space="preserve"> customer contributions</w:t>
      </w:r>
      <w:r w:rsidR="00F43520">
        <w:t xml:space="preserve"> regulation necessarily involves trade-offs between benefits</w:t>
      </w:r>
      <w:r w:rsidR="00E02D4F">
        <w:t>,</w:t>
      </w:r>
      <w:r w:rsidR="00F43520">
        <w:t xml:space="preserve"> cost and complexity</w:t>
      </w:r>
      <w:r w:rsidR="00F43520" w:rsidRPr="00192139">
        <w:t xml:space="preserve">. </w:t>
      </w:r>
      <w:r w:rsidR="00F43520">
        <w:t xml:space="preserve">Some key trade-offs that </w:t>
      </w:r>
      <w:r w:rsidR="00A351FF">
        <w:t>new</w:t>
      </w:r>
      <w:r w:rsidR="000B579D">
        <w:t xml:space="preserve"> customer contributions</w:t>
      </w:r>
      <w:r w:rsidR="00F43520">
        <w:t xml:space="preserve"> regimes need to provide for include:</w:t>
      </w:r>
    </w:p>
    <w:p w14:paraId="7AFE00BC" w14:textId="44623CD3" w:rsidR="00F43520" w:rsidRDefault="00F43520" w:rsidP="00B83121">
      <w:pPr>
        <w:pStyle w:val="ListBullet"/>
      </w:pPr>
      <w:r w:rsidRPr="00DA4CF7">
        <w:rPr>
          <w:b/>
        </w:rPr>
        <w:t>Cost effective to administer versus fit for customer scale and complexity</w:t>
      </w:r>
      <w:r w:rsidR="00DA4CF7" w:rsidRPr="00DA4CF7">
        <w:rPr>
          <w:b/>
          <w:bCs/>
        </w:rPr>
        <w:t>.</w:t>
      </w:r>
      <w:r>
        <w:t xml:space="preserve"> There are trade-</w:t>
      </w:r>
      <w:r w:rsidR="00AB1C0C" w:rsidRPr="00AB1C0C">
        <w:t>offs</w:t>
      </w:r>
      <w:r>
        <w:t xml:space="preserve"> between separately calculated efficient connection service price signals and the costs of administering these for lots of connection applicants. This is why the case study regimes provide for both standard and </w:t>
      </w:r>
      <w:r w:rsidR="00AB1C0C" w:rsidRPr="00AB1C0C">
        <w:t>negotiated charges.</w:t>
      </w:r>
      <w:r>
        <w:t xml:space="preserve"> </w:t>
      </w:r>
    </w:p>
    <w:p w14:paraId="7D6F3796" w14:textId="4FCF2355" w:rsidR="00F43520" w:rsidRDefault="00F43520" w:rsidP="00B83121">
      <w:pPr>
        <w:pStyle w:val="ListBullet"/>
      </w:pPr>
      <w:r w:rsidRPr="00DA4CF7">
        <w:rPr>
          <w:b/>
        </w:rPr>
        <w:t>Transparent, predictable and non-discriminatory versus flexible for circumstances</w:t>
      </w:r>
      <w:r w:rsidR="00DA4CF7" w:rsidRPr="00DC008C">
        <w:rPr>
          <w:b/>
          <w:i/>
        </w:rPr>
        <w:t>.</w:t>
      </w:r>
      <w:r>
        <w:rPr>
          <w:i/>
        </w:rPr>
        <w:t xml:space="preserve"> </w:t>
      </w:r>
      <w:r>
        <w:t>Some may see a trade-off existing between the transparency and predictability afforded through regulator-approved standard charges and individually negotiated charges.</w:t>
      </w:r>
    </w:p>
    <w:p w14:paraId="2EB4691C" w14:textId="1C40488B" w:rsidR="00AB1C0C" w:rsidRPr="00AB1C0C" w:rsidRDefault="00AB1C0C" w:rsidP="00B83121">
      <w:pPr>
        <w:pStyle w:val="ListBullet"/>
      </w:pPr>
      <w:r w:rsidRPr="00DA4CF7">
        <w:rPr>
          <w:b/>
          <w:bCs/>
        </w:rPr>
        <w:t>Economic efficiency versus policy objectives</w:t>
      </w:r>
      <w:r w:rsidR="00DA4CF7" w:rsidRPr="00DA4CF7">
        <w:rPr>
          <w:b/>
          <w:bCs/>
        </w:rPr>
        <w:t>.</w:t>
      </w:r>
      <w:r w:rsidR="00DA4CF7">
        <w:rPr>
          <w:i/>
          <w:iCs/>
        </w:rPr>
        <w:t xml:space="preserve"> </w:t>
      </w:r>
      <w:r w:rsidRPr="00AB1C0C">
        <w:t xml:space="preserve">There can be a trade-off for accommodating social and economic policy directions versus sending efficient price signals. </w:t>
      </w:r>
    </w:p>
    <w:p w14:paraId="5A311523" w14:textId="48F4615E" w:rsidR="00AB1C0C" w:rsidRPr="00AB1C0C" w:rsidRDefault="00AB1C0C" w:rsidP="00B83121">
      <w:pPr>
        <w:pStyle w:val="ListBullet"/>
      </w:pPr>
      <w:r w:rsidRPr="00DA4CF7">
        <w:rPr>
          <w:b/>
          <w:bCs/>
        </w:rPr>
        <w:t>Allow flexibility to support project economics on desirable connections</w:t>
      </w:r>
      <w:r w:rsidR="00DA4CF7" w:rsidRPr="00DA4CF7">
        <w:rPr>
          <w:b/>
          <w:bCs/>
        </w:rPr>
        <w:t>.</w:t>
      </w:r>
      <w:r w:rsidR="00DA4CF7">
        <w:rPr>
          <w:i/>
          <w:iCs/>
        </w:rPr>
        <w:t xml:space="preserve"> </w:t>
      </w:r>
      <w:r w:rsidRPr="00AB1C0C">
        <w:t xml:space="preserve">There can be a trade-off between standard approaches, and approaches that recognise specific benefits a connection can bring to the </w:t>
      </w:r>
      <w:r w:rsidR="00D909A1">
        <w:t>business’</w:t>
      </w:r>
      <w:r w:rsidRPr="00AB1C0C">
        <w:t xml:space="preserve"> cost to serve and to the communities it services.</w:t>
      </w:r>
    </w:p>
    <w:p w14:paraId="2804C1DF" w14:textId="334630E8" w:rsidR="00F43520" w:rsidRPr="005D72C7" w:rsidRDefault="00EE77EC" w:rsidP="00BD4B6F">
      <w:pPr>
        <w:pStyle w:val="Heading2"/>
      </w:pPr>
      <w:bookmarkStart w:id="211" w:name="_Toc164094435"/>
      <w:bookmarkStart w:id="212" w:name="_Toc165561619"/>
      <w:bookmarkStart w:id="213" w:name="_Toc165818662"/>
      <w:bookmarkStart w:id="214" w:name="_Toc165820012"/>
      <w:bookmarkStart w:id="215" w:name="_Toc168330239"/>
      <w:bookmarkStart w:id="216" w:name="_Toc173487099"/>
      <w:bookmarkStart w:id="217" w:name="_Toc174348990"/>
      <w:r>
        <w:t>A.5.</w:t>
      </w:r>
      <w:r>
        <w:tab/>
      </w:r>
      <w:r w:rsidR="00F43520" w:rsidRPr="005D72C7">
        <w:t xml:space="preserve">Victorian water </w:t>
      </w:r>
      <w:r w:rsidR="00382CAC">
        <w:t xml:space="preserve">policy </w:t>
      </w:r>
      <w:r w:rsidR="00F43520" w:rsidRPr="005D72C7">
        <w:t>context</w:t>
      </w:r>
      <w:bookmarkEnd w:id="211"/>
      <w:bookmarkEnd w:id="212"/>
      <w:bookmarkEnd w:id="213"/>
      <w:bookmarkEnd w:id="214"/>
      <w:bookmarkEnd w:id="215"/>
      <w:bookmarkEnd w:id="216"/>
      <w:bookmarkEnd w:id="217"/>
    </w:p>
    <w:p w14:paraId="4FA34642" w14:textId="00C4BEB3" w:rsidR="007625A7" w:rsidRDefault="00296834" w:rsidP="007625A7">
      <w:pPr>
        <w:pStyle w:val="Heading3"/>
      </w:pPr>
      <w:bookmarkStart w:id="218" w:name="_Toc165561621"/>
      <w:bookmarkStart w:id="219" w:name="_Toc165818664"/>
      <w:bookmarkStart w:id="220" w:name="_Toc165820014"/>
      <w:bookmarkStart w:id="221" w:name="_Toc168330241"/>
      <w:bookmarkStart w:id="222" w:name="_Toc171596149"/>
      <w:bookmarkStart w:id="223" w:name="_Toc172017195"/>
      <w:bookmarkStart w:id="224" w:name="_Toc172902637"/>
      <w:bookmarkStart w:id="225" w:name="_Toc173487100"/>
      <w:bookmarkStart w:id="226" w:name="_Toc173844793"/>
      <w:bookmarkStart w:id="227" w:name="_Toc174348991"/>
      <w:bookmarkStart w:id="228" w:name="_Toc164094438"/>
      <w:r>
        <w:t>A.5.</w:t>
      </w:r>
      <w:r w:rsidR="00E55AE0">
        <w:t>1</w:t>
      </w:r>
      <w:r>
        <w:tab/>
      </w:r>
      <w:r w:rsidR="007625A7">
        <w:t xml:space="preserve">What </w:t>
      </w:r>
      <w:r w:rsidR="00EE3AFE">
        <w:t xml:space="preserve">are the applicable </w:t>
      </w:r>
      <w:r w:rsidR="007625A7">
        <w:t>policy principles?</w:t>
      </w:r>
      <w:bookmarkEnd w:id="218"/>
      <w:bookmarkEnd w:id="219"/>
      <w:bookmarkEnd w:id="220"/>
      <w:bookmarkEnd w:id="221"/>
      <w:bookmarkEnd w:id="222"/>
      <w:bookmarkEnd w:id="223"/>
      <w:bookmarkEnd w:id="224"/>
      <w:bookmarkEnd w:id="225"/>
      <w:bookmarkEnd w:id="226"/>
      <w:bookmarkEnd w:id="227"/>
    </w:p>
    <w:p w14:paraId="45CB412C" w14:textId="4ACE0434" w:rsidR="007625A7" w:rsidRDefault="007625A7" w:rsidP="00D83635">
      <w:r>
        <w:t>In addition to the object</w:t>
      </w:r>
      <w:r w:rsidR="00047FD9">
        <w:t>ive</w:t>
      </w:r>
      <w:r>
        <w:t xml:space="preserve">s </w:t>
      </w:r>
      <w:r w:rsidR="00D45648">
        <w:t>and other requirements</w:t>
      </w:r>
      <w:r>
        <w:t xml:space="preserve"> of the statutory instruments noted </w:t>
      </w:r>
      <w:r w:rsidR="00747A99">
        <w:t>in section 2</w:t>
      </w:r>
      <w:r w:rsidR="002723D6">
        <w:t xml:space="preserve"> </w:t>
      </w:r>
      <w:r>
        <w:t>we also have regard to Victoria’s water policy commitments.</w:t>
      </w:r>
    </w:p>
    <w:p w14:paraId="218FFDBE" w14:textId="632299D1" w:rsidR="007625A7" w:rsidRDefault="007625A7" w:rsidP="00D83635">
      <w:r>
        <w:t>In 2004</w:t>
      </w:r>
      <w:r w:rsidR="000D33B1">
        <w:t>,</w:t>
      </w:r>
      <w:r>
        <w:t xml:space="preserve"> the Council of Australian Governments agreed to the National Water Initiative as the national blueprint for water reform. Under the initiative, governments made commitments to best practice water pricing which were captured in the National Water Initiative Pricing Principles.</w:t>
      </w:r>
    </w:p>
    <w:p w14:paraId="0298A87A" w14:textId="3E79F4F0" w:rsidR="007625A7" w:rsidRDefault="007625A7" w:rsidP="00D83635">
      <w:r>
        <w:t xml:space="preserve">Relevantly, these principles specifically address principles for connection and augmentation contributions. </w:t>
      </w:r>
    </w:p>
    <w:p w14:paraId="3583EF7E" w14:textId="0D36CDB2" w:rsidR="007625A7" w:rsidRDefault="00296834" w:rsidP="00D83635">
      <w:pPr>
        <w:pStyle w:val="Heading4"/>
        <w:ind w:left="1134" w:hanging="1134"/>
      </w:pPr>
      <w:r>
        <w:lastRenderedPageBreak/>
        <w:t>A.5.</w:t>
      </w:r>
      <w:r w:rsidR="00E55AE0">
        <w:t>1</w:t>
      </w:r>
      <w:r>
        <w:t>.1</w:t>
      </w:r>
      <w:r>
        <w:tab/>
      </w:r>
      <w:r w:rsidR="007625A7">
        <w:t>National Water Initiative pricing principles for urban water tariffs</w:t>
      </w:r>
    </w:p>
    <w:p w14:paraId="21877DD5" w14:textId="77777777" w:rsidR="007625A7" w:rsidRDefault="007625A7" w:rsidP="0095150F">
      <w:pPr>
        <w:pStyle w:val="Pull-outHeading"/>
        <w:keepNext/>
        <w:keepLines/>
      </w:pPr>
      <w:r>
        <w:t xml:space="preserve">Principle 7: Differential water charges </w:t>
      </w:r>
    </w:p>
    <w:p w14:paraId="65F322AD" w14:textId="299ABA2F" w:rsidR="007625A7" w:rsidRDefault="007625A7" w:rsidP="0095150F">
      <w:pPr>
        <w:pStyle w:val="Pull-out"/>
        <w:keepNext/>
        <w:keepLines/>
      </w:pPr>
      <w:r>
        <w:t xml:space="preserve">Water charges should be differentiated by the cost of servicing different customers (for example, </w:t>
      </w:r>
      <w:r w:rsidR="002F3372">
        <w:t>based on</w:t>
      </w:r>
      <w:r>
        <w:t xml:space="preserve"> location and service standards) where there are benefits in doing so and where it can be shown that these benefits outweigh the costs of identifying differences and the equity advantages of </w:t>
      </w:r>
      <w:proofErr w:type="spellStart"/>
      <w:r>
        <w:t>alternatives</w:t>
      </w:r>
      <w:r w:rsidRPr="00F30D8E">
        <w:rPr>
          <w:vertAlign w:val="superscript"/>
        </w:rPr>
        <w:t>i</w:t>
      </w:r>
      <w:proofErr w:type="spellEnd"/>
      <w:r>
        <w:t xml:space="preserve">. </w:t>
      </w:r>
    </w:p>
    <w:p w14:paraId="3B863FEF" w14:textId="2716890E" w:rsidR="007625A7" w:rsidRDefault="007625A7" w:rsidP="00D83635">
      <w:pPr>
        <w:pStyle w:val="Pull-out"/>
      </w:pPr>
      <w:r>
        <w:t xml:space="preserve">Notes: </w:t>
      </w:r>
      <w:proofErr w:type="spellStart"/>
      <w:r>
        <w:t>i</w:t>
      </w:r>
      <w:proofErr w:type="spellEnd"/>
      <w:r>
        <w:t xml:space="preserve">. Differential pricing may be achieved by upfront contributions, including </w:t>
      </w:r>
      <w:r w:rsidR="00E841ED">
        <w:t>new</w:t>
      </w:r>
      <w:r w:rsidR="000B579D">
        <w:t xml:space="preserve"> customer contributions</w:t>
      </w:r>
      <w:r>
        <w:t xml:space="preserve">. </w:t>
      </w:r>
    </w:p>
    <w:p w14:paraId="284F7BAF" w14:textId="28ACEB15" w:rsidR="007625A7" w:rsidRDefault="007625A7" w:rsidP="00D83635">
      <w:pPr>
        <w:pStyle w:val="Pull-outHeading"/>
      </w:pPr>
      <w:r>
        <w:t xml:space="preserve">Principle 8: Setting </w:t>
      </w:r>
      <w:r w:rsidR="00935CE6">
        <w:t>new</w:t>
      </w:r>
      <w:r w:rsidR="000B579D">
        <w:t xml:space="preserve"> customer contributions</w:t>
      </w:r>
      <w:r>
        <w:t xml:space="preserve"> </w:t>
      </w:r>
    </w:p>
    <w:p w14:paraId="0C48A379" w14:textId="23F658AC" w:rsidR="007625A7" w:rsidRDefault="00501087" w:rsidP="00D83635">
      <w:pPr>
        <w:pStyle w:val="Pull-out"/>
      </w:pPr>
      <w:r>
        <w:t>New</w:t>
      </w:r>
      <w:r w:rsidR="000B579D">
        <w:t xml:space="preserve"> customer contributions</w:t>
      </w:r>
      <w:r w:rsidR="007625A7">
        <w:t xml:space="preserve"> should reflect the investment in both new and existing assets required to serve a new </w:t>
      </w:r>
      <w:proofErr w:type="spellStart"/>
      <w:r w:rsidR="007625A7">
        <w:t>development</w:t>
      </w:r>
      <w:r w:rsidR="007625A7" w:rsidRPr="009375EB">
        <w:rPr>
          <w:vertAlign w:val="superscript"/>
        </w:rPr>
        <w:t>i</w:t>
      </w:r>
      <w:proofErr w:type="spellEnd"/>
      <w:r w:rsidR="007625A7">
        <w:t xml:space="preserve"> and have regard to the </w:t>
      </w:r>
      <w:proofErr w:type="gramStart"/>
      <w:r w:rsidR="007625A7">
        <w:t>manner in which</w:t>
      </w:r>
      <w:proofErr w:type="gramEnd"/>
      <w:r w:rsidR="007625A7">
        <w:t xml:space="preserve"> ongoing water usage and service availability charges are set. </w:t>
      </w:r>
    </w:p>
    <w:p w14:paraId="59B40397" w14:textId="77777777" w:rsidR="007625A7" w:rsidRDefault="007625A7" w:rsidP="00D83635">
      <w:pPr>
        <w:pStyle w:val="Pull-out"/>
      </w:pPr>
      <w:r>
        <w:t xml:space="preserve">Notes: </w:t>
      </w:r>
      <w:proofErr w:type="spellStart"/>
      <w:r>
        <w:t>i</w:t>
      </w:r>
      <w:proofErr w:type="spellEnd"/>
      <w:r>
        <w:t xml:space="preserve">. Where there are benefits beyond the boundary of the development, the developer charge should have regard to the share of capacity required to serve the development. </w:t>
      </w:r>
    </w:p>
    <w:p w14:paraId="69FA9F41" w14:textId="0D2B6CC5" w:rsidR="007625A7" w:rsidRDefault="007625A7" w:rsidP="00D83635">
      <w:pPr>
        <w:pStyle w:val="Pull-outHeading"/>
      </w:pPr>
      <w:r>
        <w:t xml:space="preserve">Principle 9: Capping </w:t>
      </w:r>
      <w:r w:rsidR="007131BE">
        <w:t>new</w:t>
      </w:r>
      <w:r w:rsidR="000B579D">
        <w:t xml:space="preserve"> customer contributions</w:t>
      </w:r>
      <w:r>
        <w:t xml:space="preserve"> </w:t>
      </w:r>
    </w:p>
    <w:p w14:paraId="4EBC73ED" w14:textId="5B95578D" w:rsidR="007625A7" w:rsidRDefault="00501087" w:rsidP="00D83635">
      <w:pPr>
        <w:pStyle w:val="Pull-out"/>
      </w:pPr>
      <w:r>
        <w:t>New</w:t>
      </w:r>
      <w:r w:rsidR="000B579D">
        <w:t xml:space="preserve"> customer contributions</w:t>
      </w:r>
      <w:r w:rsidR="007625A7">
        <w:t xml:space="preserve"> should not exceed the costs of serving new developments which includes investment in both new and existing assets required to serve a new development. </w:t>
      </w:r>
    </w:p>
    <w:p w14:paraId="2EB839D8" w14:textId="1FF8B787" w:rsidR="007625A7" w:rsidRDefault="007625A7" w:rsidP="00D83635">
      <w:pPr>
        <w:pStyle w:val="Pull-outHeading"/>
      </w:pPr>
      <w:r>
        <w:t xml:space="preserve">Principle 10: Revenue from </w:t>
      </w:r>
      <w:r w:rsidR="00F67EC5">
        <w:t>new</w:t>
      </w:r>
      <w:r w:rsidR="000B579D">
        <w:t xml:space="preserve"> customer contributions</w:t>
      </w:r>
      <w:r>
        <w:t xml:space="preserve"> </w:t>
      </w:r>
    </w:p>
    <w:p w14:paraId="3430662B" w14:textId="1042D3AE" w:rsidR="00AA6ED8" w:rsidRDefault="007625A7" w:rsidP="00D83635">
      <w:pPr>
        <w:pStyle w:val="Pull-out"/>
      </w:pPr>
      <w:r>
        <w:t xml:space="preserve">To avoid over-recovery, revenue from </w:t>
      </w:r>
      <w:r w:rsidR="00F67EC5">
        <w:t>new</w:t>
      </w:r>
      <w:r w:rsidR="000B579D">
        <w:t xml:space="preserve"> customer contributions</w:t>
      </w:r>
      <w:r>
        <w:t xml:space="preserve"> should be offset against the total revenue requirement either by excluding or deducting the contributed assets from the RAB or by offsetting the revenue recovered using other mechanisms. </w:t>
      </w:r>
    </w:p>
    <w:p w14:paraId="0CABB733" w14:textId="25B79F60" w:rsidR="00F43520" w:rsidRDefault="008711A0" w:rsidP="0009788E">
      <w:pPr>
        <w:pStyle w:val="Heading3"/>
      </w:pPr>
      <w:bookmarkStart w:id="229" w:name="_Toc164094439"/>
      <w:bookmarkStart w:id="230" w:name="_Toc165561623"/>
      <w:bookmarkStart w:id="231" w:name="_Toc165818666"/>
      <w:bookmarkStart w:id="232" w:name="_Toc165820016"/>
      <w:bookmarkStart w:id="233" w:name="_Toc168330243"/>
      <w:bookmarkStart w:id="234" w:name="_Toc171596150"/>
      <w:bookmarkStart w:id="235" w:name="_Toc172017196"/>
      <w:bookmarkStart w:id="236" w:name="_Toc172902638"/>
      <w:bookmarkStart w:id="237" w:name="_Toc173487101"/>
      <w:bookmarkStart w:id="238" w:name="_Toc173844794"/>
      <w:bookmarkStart w:id="239" w:name="_Toc174348992"/>
      <w:bookmarkEnd w:id="228"/>
      <w:r>
        <w:t>A.5.</w:t>
      </w:r>
      <w:r w:rsidR="00E55AE0">
        <w:t>2</w:t>
      </w:r>
      <w:r>
        <w:tab/>
      </w:r>
      <w:r w:rsidR="00F43520">
        <w:t xml:space="preserve">Who is affected by </w:t>
      </w:r>
      <w:r w:rsidR="005D7E55">
        <w:t>Victoria’s development charges framework</w:t>
      </w:r>
      <w:r w:rsidR="00F43520">
        <w:t>?</w:t>
      </w:r>
      <w:bookmarkEnd w:id="229"/>
      <w:bookmarkEnd w:id="230"/>
      <w:bookmarkEnd w:id="231"/>
      <w:bookmarkEnd w:id="232"/>
      <w:bookmarkEnd w:id="233"/>
      <w:bookmarkEnd w:id="234"/>
      <w:bookmarkEnd w:id="235"/>
      <w:bookmarkEnd w:id="236"/>
      <w:bookmarkEnd w:id="237"/>
      <w:bookmarkEnd w:id="238"/>
      <w:bookmarkEnd w:id="239"/>
    </w:p>
    <w:p w14:paraId="329FD3C1" w14:textId="0FB46165" w:rsidR="00F43520" w:rsidRPr="002B3C70" w:rsidRDefault="00F43520" w:rsidP="00AB1C0C">
      <w:r w:rsidRPr="002B3C70">
        <w:t xml:space="preserve">Parties affected by Victoria’s </w:t>
      </w:r>
      <w:r>
        <w:t xml:space="preserve">contributions </w:t>
      </w:r>
      <w:r w:rsidR="005D7E55">
        <w:t>framework</w:t>
      </w:r>
      <w:r w:rsidRPr="002B3C70">
        <w:t xml:space="preserve"> are:</w:t>
      </w:r>
    </w:p>
    <w:p w14:paraId="388B5DBE" w14:textId="5BFFC460" w:rsidR="00AB1C0C" w:rsidRPr="00AB1C0C" w:rsidRDefault="00AB1C0C" w:rsidP="00B83121">
      <w:pPr>
        <w:pStyle w:val="ListBullet"/>
      </w:pPr>
      <w:r w:rsidRPr="00AB1C0C">
        <w:rPr>
          <w:b/>
          <w:bCs/>
        </w:rPr>
        <w:t>Connection applicants</w:t>
      </w:r>
      <w:r w:rsidR="00343142">
        <w:t xml:space="preserve"> –</w:t>
      </w:r>
      <w:r w:rsidRPr="00AB1C0C">
        <w:t xml:space="preserve"> P</w:t>
      </w:r>
      <w:r w:rsidR="00117B56">
        <w:t>arties</w:t>
      </w:r>
      <w:r w:rsidRPr="00AB1C0C">
        <w:t xml:space="preserve"> seeking to connect to the water network or materially alter the characteristics of an existing connection point. These can be green field or brown field, first in an area or, subsequent applicant(s) in that area, residential or commercial uses at a connection point, </w:t>
      </w:r>
      <w:r w:rsidR="006D4E85">
        <w:t>connection applicants</w:t>
      </w:r>
      <w:r w:rsidR="006D4E85" w:rsidRPr="00AB1C0C" w:rsidDel="006D4E85">
        <w:t xml:space="preserve"> </w:t>
      </w:r>
      <w:r w:rsidRPr="00AB1C0C">
        <w:t>or final occupant customers.</w:t>
      </w:r>
    </w:p>
    <w:p w14:paraId="55981891" w14:textId="7E1D7FFF" w:rsidR="00AB1C0C" w:rsidRPr="00AB1C0C" w:rsidRDefault="00AB1C0C" w:rsidP="00B83121">
      <w:pPr>
        <w:pStyle w:val="ListBullet"/>
      </w:pPr>
      <w:r w:rsidRPr="00AB1C0C">
        <w:rPr>
          <w:b/>
          <w:bCs/>
        </w:rPr>
        <w:t>Water authorities (termed water businesses in this paper)</w:t>
      </w:r>
      <w:r w:rsidR="00343142">
        <w:rPr>
          <w:b/>
          <w:bCs/>
        </w:rPr>
        <w:t xml:space="preserve"> –</w:t>
      </w:r>
      <w:r w:rsidRPr="00AB1C0C">
        <w:t xml:space="preserve"> Own and operate the network, specify connection requirements and costs, manage the whole network for expansion, reinforcement and augmentation planning and works delivery.</w:t>
      </w:r>
    </w:p>
    <w:p w14:paraId="46F344A6" w14:textId="22CE8968" w:rsidR="00AB1C0C" w:rsidRPr="00AB1C0C" w:rsidRDefault="00AB1C0C" w:rsidP="00B83121">
      <w:pPr>
        <w:pStyle w:val="ListBullet"/>
      </w:pPr>
      <w:r w:rsidRPr="00AB1C0C">
        <w:rPr>
          <w:b/>
          <w:bCs/>
        </w:rPr>
        <w:t>VCAT</w:t>
      </w:r>
      <w:r w:rsidR="00343142">
        <w:t xml:space="preserve"> –</w:t>
      </w:r>
      <w:r w:rsidRPr="00AB1C0C">
        <w:t xml:space="preserve"> Resolves disputes between water authorities and connection applicants (being </w:t>
      </w:r>
      <w:r w:rsidR="006D4E85">
        <w:t>connection applicants</w:t>
      </w:r>
      <w:r w:rsidR="006D4E85" w:rsidRPr="00AB1C0C" w:rsidDel="006D4E85">
        <w:t xml:space="preserve"> </w:t>
      </w:r>
      <w:r w:rsidRPr="00AB1C0C">
        <w:t xml:space="preserve">and / or property owners) </w:t>
      </w:r>
    </w:p>
    <w:p w14:paraId="7D9D6333" w14:textId="066B0B9E" w:rsidR="00F43520" w:rsidRPr="002B3C70" w:rsidRDefault="00B14D17" w:rsidP="00B83121">
      <w:pPr>
        <w:pStyle w:val="ListBullet"/>
      </w:pPr>
      <w:r>
        <w:rPr>
          <w:b/>
        </w:rPr>
        <w:lastRenderedPageBreak/>
        <w:t xml:space="preserve">Essential Services </w:t>
      </w:r>
      <w:r w:rsidR="00F43520" w:rsidRPr="00AB1C0C">
        <w:rPr>
          <w:b/>
        </w:rPr>
        <w:t>Commission</w:t>
      </w:r>
      <w:r w:rsidR="00343142">
        <w:t xml:space="preserve"> –</w:t>
      </w:r>
      <w:r w:rsidR="00F43520" w:rsidRPr="002B3C70">
        <w:t xml:space="preserve"> </w:t>
      </w:r>
      <w:r w:rsidR="00F43520">
        <w:t>N</w:t>
      </w:r>
      <w:r w:rsidR="00F43520" w:rsidRPr="002B3C70">
        <w:t xml:space="preserve">eeds to know </w:t>
      </w:r>
      <w:r w:rsidR="005D18ED">
        <w:t>the</w:t>
      </w:r>
      <w:r w:rsidR="00F43520" w:rsidRPr="002B3C70">
        <w:t xml:space="preserve"> costs regulated under each WIRO prescribed service (therefore needs </w:t>
      </w:r>
      <w:r w:rsidR="006A0974">
        <w:t>new</w:t>
      </w:r>
      <w:r w:rsidR="000B579D">
        <w:t xml:space="preserve"> customer contributions</w:t>
      </w:r>
      <w:r w:rsidR="00F43520" w:rsidRPr="002B3C70">
        <w:t xml:space="preserve"> service and cost definition), manages the information requirements that affect the level of transparency around investment planning and timing, and</w:t>
      </w:r>
      <w:r w:rsidR="00F43520" w:rsidRPr="00AB1C0C">
        <w:t xml:space="preserve"> can</w:t>
      </w:r>
      <w:r w:rsidR="00F43520" w:rsidRPr="002B3C70">
        <w:t xml:space="preserve"> intervene in the </w:t>
      </w:r>
      <w:r w:rsidR="006A0974">
        <w:t>new customer contributions</w:t>
      </w:r>
      <w:r w:rsidR="00F43520" w:rsidRPr="002B3C70">
        <w:t xml:space="preserve"> regulatory model and charges (and has done so to date</w:t>
      </w:r>
      <w:r w:rsidR="00F43520">
        <w:t xml:space="preserve"> via its binding price review guidance and determinations</w:t>
      </w:r>
      <w:r w:rsidR="00F43520" w:rsidRPr="002B3C70">
        <w:t>)</w:t>
      </w:r>
      <w:r w:rsidR="00F43520">
        <w:t>.</w:t>
      </w:r>
    </w:p>
    <w:p w14:paraId="19F3A5FF" w14:textId="3526874D" w:rsidR="00F43520" w:rsidRDefault="008711A0" w:rsidP="00D358D9">
      <w:pPr>
        <w:pStyle w:val="Heading3"/>
      </w:pPr>
      <w:bookmarkStart w:id="240" w:name="_Toc164094440"/>
      <w:bookmarkStart w:id="241" w:name="_Toc165561624"/>
      <w:bookmarkStart w:id="242" w:name="_Toc165818667"/>
      <w:bookmarkStart w:id="243" w:name="_Toc165820017"/>
      <w:bookmarkStart w:id="244" w:name="_Toc168330244"/>
      <w:bookmarkStart w:id="245" w:name="_Toc171596151"/>
      <w:bookmarkStart w:id="246" w:name="_Toc172017197"/>
      <w:bookmarkStart w:id="247" w:name="_Toc172902639"/>
      <w:bookmarkStart w:id="248" w:name="_Toc173487102"/>
      <w:bookmarkStart w:id="249" w:name="_Toc173844795"/>
      <w:bookmarkStart w:id="250" w:name="_Toc174348993"/>
      <w:r>
        <w:t>A.5.</w:t>
      </w:r>
      <w:r w:rsidR="00E55AE0">
        <w:t>3</w:t>
      </w:r>
      <w:r>
        <w:tab/>
      </w:r>
      <w:r w:rsidR="00F43520">
        <w:t>How are disputes handled?</w:t>
      </w:r>
      <w:bookmarkEnd w:id="240"/>
      <w:bookmarkEnd w:id="241"/>
      <w:bookmarkEnd w:id="242"/>
      <w:bookmarkEnd w:id="243"/>
      <w:bookmarkEnd w:id="244"/>
      <w:bookmarkEnd w:id="245"/>
      <w:bookmarkEnd w:id="246"/>
      <w:bookmarkEnd w:id="247"/>
      <w:bookmarkEnd w:id="248"/>
      <w:bookmarkEnd w:id="249"/>
      <w:bookmarkEnd w:id="250"/>
    </w:p>
    <w:p w14:paraId="3333F4E4" w14:textId="76647544" w:rsidR="00F43520" w:rsidRDefault="00F43520" w:rsidP="00AB1C0C">
      <w:r w:rsidRPr="001D1BBB">
        <w:t xml:space="preserve">If there is a dispute between a </w:t>
      </w:r>
      <w:r>
        <w:t>connection applicant</w:t>
      </w:r>
      <w:r w:rsidRPr="001D1BBB">
        <w:t xml:space="preserve"> and a water business (whether in relation to a standard or negotiated </w:t>
      </w:r>
      <w:r w:rsidR="00E0783B">
        <w:t>developer charge</w:t>
      </w:r>
      <w:r w:rsidRPr="001D1BBB">
        <w:t xml:space="preserve">), </w:t>
      </w:r>
      <w:r w:rsidR="009B6AF2">
        <w:t>connection applicants</w:t>
      </w:r>
      <w:r w:rsidR="009B6AF2" w:rsidRPr="001D1BBB" w:rsidDel="009B6AF2">
        <w:t xml:space="preserve"> </w:t>
      </w:r>
      <w:r w:rsidRPr="001D1BBB">
        <w:t xml:space="preserve">may use the dispute resolution offered by a water business as part of its </w:t>
      </w:r>
      <w:r w:rsidR="00FF4369">
        <w:t>new</w:t>
      </w:r>
      <w:r w:rsidR="000B579D">
        <w:t xml:space="preserve"> customer contributions</w:t>
      </w:r>
      <w:r w:rsidRPr="001D1BBB">
        <w:t xml:space="preserve"> negotiating framework. </w:t>
      </w:r>
    </w:p>
    <w:p w14:paraId="6B468CB7" w14:textId="5A0BDFF7" w:rsidR="00F43520" w:rsidRDefault="00F43520" w:rsidP="00AB1C0C">
      <w:r w:rsidRPr="001D1BBB">
        <w:t xml:space="preserve">In addition, </w:t>
      </w:r>
      <w:r>
        <w:t>connection applicant</w:t>
      </w:r>
      <w:r w:rsidR="003F0CF9">
        <w:t>s</w:t>
      </w:r>
      <w:r w:rsidRPr="001D1BBB">
        <w:t xml:space="preserve"> may follow the </w:t>
      </w:r>
      <w:r w:rsidRPr="001D1BBB">
        <w:rPr>
          <w:i/>
          <w:iCs/>
        </w:rPr>
        <w:t xml:space="preserve">Water Act 1989 </w:t>
      </w:r>
      <w:r w:rsidRPr="001D1BBB">
        <w:t xml:space="preserve">process to object and seek internal review by the water business, and to pursue unresolved matters through the </w:t>
      </w:r>
      <w:r w:rsidR="00AB1C0C" w:rsidRPr="00AB1C0C">
        <w:t>VCAT.</w:t>
      </w:r>
      <w:r w:rsidRPr="00AB1C0C">
        <w:rPr>
          <w:vertAlign w:val="superscript"/>
        </w:rPr>
        <w:footnoteReference w:id="62"/>
      </w:r>
    </w:p>
    <w:p w14:paraId="6779B48D" w14:textId="55C3D79B" w:rsidR="00F43520" w:rsidRDefault="0071073B" w:rsidP="000461D9">
      <w:pPr>
        <w:pStyle w:val="Heading2"/>
      </w:pPr>
      <w:bookmarkStart w:id="251" w:name="_Toc164094445"/>
      <w:bookmarkStart w:id="252" w:name="_Toc165561629"/>
      <w:bookmarkStart w:id="253" w:name="_Toc165818672"/>
      <w:bookmarkStart w:id="254" w:name="_Toc165820022"/>
      <w:bookmarkStart w:id="255" w:name="_Toc168330249"/>
      <w:bookmarkStart w:id="256" w:name="_Toc173487103"/>
      <w:bookmarkStart w:id="257" w:name="_Toc174348994"/>
      <w:r>
        <w:t>A.</w:t>
      </w:r>
      <w:r w:rsidR="006C4626">
        <w:t>6</w:t>
      </w:r>
      <w:r>
        <w:tab/>
      </w:r>
      <w:r w:rsidR="00F43520">
        <w:t>What discretion do water business</w:t>
      </w:r>
      <w:r w:rsidR="007C07A0">
        <w:t>es</w:t>
      </w:r>
      <w:r w:rsidR="00F43520">
        <w:t xml:space="preserve"> have?</w:t>
      </w:r>
      <w:bookmarkEnd w:id="251"/>
      <w:bookmarkEnd w:id="252"/>
      <w:bookmarkEnd w:id="253"/>
      <w:bookmarkEnd w:id="254"/>
      <w:bookmarkEnd w:id="255"/>
      <w:bookmarkEnd w:id="256"/>
      <w:bookmarkEnd w:id="257"/>
    </w:p>
    <w:p w14:paraId="43108520" w14:textId="09B346AA" w:rsidR="00F43520" w:rsidRDefault="00AC7F25" w:rsidP="00AB1C0C">
      <w:r>
        <w:t>W</w:t>
      </w:r>
      <w:r w:rsidR="00F43520" w:rsidRPr="00AB1C0C">
        <w:t xml:space="preserve">ater businesses </w:t>
      </w:r>
      <w:r w:rsidR="00192E7C">
        <w:t xml:space="preserve">have </w:t>
      </w:r>
      <w:r w:rsidR="00F43520" w:rsidRPr="00AB1C0C">
        <w:t xml:space="preserve">flexibility </w:t>
      </w:r>
      <w:r w:rsidR="004F25F9">
        <w:t xml:space="preserve">through </w:t>
      </w:r>
      <w:r w:rsidR="00946419">
        <w:t>o</w:t>
      </w:r>
      <w:r w:rsidR="00946419" w:rsidRPr="00AB1C0C">
        <w:t xml:space="preserve">ur principles-based </w:t>
      </w:r>
      <w:r w:rsidR="00946419">
        <w:t>new customer contributions</w:t>
      </w:r>
      <w:r w:rsidR="00E249F3">
        <w:t xml:space="preserve"> </w:t>
      </w:r>
      <w:r w:rsidR="00474BBC">
        <w:t xml:space="preserve">framework </w:t>
      </w:r>
      <w:r w:rsidR="00E249F3">
        <w:t>to</w:t>
      </w:r>
      <w:r w:rsidR="00F84EB6">
        <w:t xml:space="preserve"> negotiate </w:t>
      </w:r>
      <w:r w:rsidR="00EF1646">
        <w:t>charges based</w:t>
      </w:r>
      <w:r w:rsidR="00E249F3">
        <w:t xml:space="preserve"> </w:t>
      </w:r>
      <w:r w:rsidR="00F43520" w:rsidRPr="00AB1C0C">
        <w:t>on their business, development and connection circumstances</w:t>
      </w:r>
      <w:r w:rsidR="0022400F">
        <w:t xml:space="preserve"> among other things</w:t>
      </w:r>
      <w:r w:rsidR="00802F8D">
        <w:t>.</w:t>
      </w:r>
      <w:r w:rsidR="00A7284B">
        <w:t xml:space="preserve"> For details, see Chapter 3.</w:t>
      </w:r>
    </w:p>
    <w:p w14:paraId="6972EF79" w14:textId="71BD792C" w:rsidR="00F43520" w:rsidRDefault="0071073B" w:rsidP="000461D9">
      <w:pPr>
        <w:pStyle w:val="Heading3"/>
      </w:pPr>
      <w:bookmarkStart w:id="258" w:name="_Toc164094446"/>
      <w:bookmarkStart w:id="259" w:name="_Toc165561630"/>
      <w:bookmarkStart w:id="260" w:name="_Toc165818673"/>
      <w:bookmarkStart w:id="261" w:name="_Toc165820023"/>
      <w:bookmarkStart w:id="262" w:name="_Toc168330250"/>
      <w:bookmarkStart w:id="263" w:name="_Toc171596153"/>
      <w:bookmarkStart w:id="264" w:name="_Toc172017199"/>
      <w:bookmarkStart w:id="265" w:name="_Toc172902641"/>
      <w:bookmarkStart w:id="266" w:name="_Toc173487104"/>
      <w:bookmarkStart w:id="267" w:name="_Toc173844797"/>
      <w:bookmarkStart w:id="268" w:name="_Toc174348995"/>
      <w:r>
        <w:t>A.</w:t>
      </w:r>
      <w:r w:rsidR="006C4626">
        <w:t>6</w:t>
      </w:r>
      <w:r>
        <w:t>.1</w:t>
      </w:r>
      <w:r>
        <w:tab/>
      </w:r>
      <w:r w:rsidR="00F43520">
        <w:t>How does this compare to other utilities?</w:t>
      </w:r>
      <w:bookmarkEnd w:id="258"/>
      <w:bookmarkEnd w:id="259"/>
      <w:bookmarkEnd w:id="260"/>
      <w:bookmarkEnd w:id="261"/>
      <w:bookmarkEnd w:id="262"/>
      <w:bookmarkEnd w:id="263"/>
      <w:bookmarkEnd w:id="264"/>
      <w:bookmarkEnd w:id="265"/>
      <w:bookmarkEnd w:id="266"/>
      <w:bookmarkEnd w:id="267"/>
      <w:bookmarkEnd w:id="268"/>
    </w:p>
    <w:p w14:paraId="7959E605" w14:textId="6D04BA27" w:rsidR="00AB1C0C" w:rsidRPr="00AB1C0C" w:rsidRDefault="00AB1C0C" w:rsidP="0095150F">
      <w:pPr>
        <w:keepNext/>
        <w:keepLines/>
      </w:pPr>
      <w:r w:rsidRPr="00AB1C0C">
        <w:t xml:space="preserve">We have summarised key features </w:t>
      </w:r>
      <w:r w:rsidR="00E42366">
        <w:t xml:space="preserve">of </w:t>
      </w:r>
      <w:r w:rsidRPr="00AB1C0C">
        <w:t xml:space="preserve">the equivalent contribution frameworks for other Australian utilities in </w:t>
      </w:r>
      <w:r w:rsidR="006C17EE">
        <w:t xml:space="preserve">the paper </w:t>
      </w:r>
      <w:r w:rsidR="00664377">
        <w:t>“</w:t>
      </w:r>
      <w:r w:rsidR="006C17EE" w:rsidRPr="00F94917">
        <w:rPr>
          <w:i/>
        </w:rPr>
        <w:t>Connection contributions frameworks in other regulatory regimes</w:t>
      </w:r>
      <w:r w:rsidR="00664377">
        <w:t>”</w:t>
      </w:r>
      <w:r w:rsidR="00F94917">
        <w:t>.</w:t>
      </w:r>
      <w:r w:rsidR="00AA4B5B">
        <w:t xml:space="preserve"> </w:t>
      </w:r>
      <w:r w:rsidR="00F07D4C">
        <w:t>Some</w:t>
      </w:r>
      <w:r w:rsidRPr="00AB1C0C">
        <w:t xml:space="preserve"> similarit</w:t>
      </w:r>
      <w:r w:rsidR="00813AB5">
        <w:t>ies</w:t>
      </w:r>
      <w:r w:rsidRPr="00AB1C0C">
        <w:t xml:space="preserve"> in the discretion afforded to regulated utilities in these regimes </w:t>
      </w:r>
      <w:r w:rsidR="00AD5EA1">
        <w:t>are e</w:t>
      </w:r>
      <w:r w:rsidR="00EA5E3C">
        <w:t>viden</w:t>
      </w:r>
      <w:r w:rsidR="00575202">
        <w:t>t</w:t>
      </w:r>
      <w:r w:rsidR="001D6EA3">
        <w:t xml:space="preserve"> </w:t>
      </w:r>
      <w:r w:rsidR="00F30B8E">
        <w:t>in</w:t>
      </w:r>
      <w:r w:rsidR="00A84CE0">
        <w:t xml:space="preserve"> the</w:t>
      </w:r>
      <w:r w:rsidRPr="00AB1C0C">
        <w:t>:</w:t>
      </w:r>
    </w:p>
    <w:p w14:paraId="08DA51B2" w14:textId="18A67F78" w:rsidR="00AB1C0C" w:rsidRPr="00AB1C0C" w:rsidRDefault="002E4D08" w:rsidP="00B83121">
      <w:pPr>
        <w:pStyle w:val="ListBullet"/>
      </w:pPr>
      <w:r>
        <w:t>u</w:t>
      </w:r>
      <w:r w:rsidR="00AB1C0C" w:rsidRPr="00AB1C0C">
        <w:t>se of the net incremental cost method in NSW water, Tasmanian water, national electricity distribution, and national gas distribution</w:t>
      </w:r>
    </w:p>
    <w:p w14:paraId="3A7CC127" w14:textId="0D8BAD1B" w:rsidR="00AB1C0C" w:rsidRPr="00AB1C0C" w:rsidRDefault="002E4D08" w:rsidP="00B83121">
      <w:pPr>
        <w:pStyle w:val="ListBullet"/>
      </w:pPr>
      <w:r>
        <w:t>a</w:t>
      </w:r>
      <w:r w:rsidR="00AB1C0C" w:rsidRPr="00AB1C0C">
        <w:t>pplication of the efficient pricing bounds in the pricing principles that the commission must apply when regulating the Port of Melbourne,</w:t>
      </w:r>
      <w:r w:rsidR="00AB1C0C" w:rsidRPr="00AB1C0C">
        <w:rPr>
          <w:vertAlign w:val="superscript"/>
        </w:rPr>
        <w:footnoteReference w:id="63"/>
      </w:r>
      <w:r w:rsidR="00AB1C0C" w:rsidRPr="00AB1C0C">
        <w:t xml:space="preserve"> Australia’s national gas distribution pricing rules,</w:t>
      </w:r>
      <w:r w:rsidR="00AB1C0C" w:rsidRPr="00AB1C0C">
        <w:rPr>
          <w:vertAlign w:val="superscript"/>
        </w:rPr>
        <w:footnoteReference w:id="64"/>
      </w:r>
      <w:r w:rsidR="00AB1C0C" w:rsidRPr="00AB1C0C">
        <w:t xml:space="preserve"> Australia’s national electricity distribution pricing rules</w:t>
      </w:r>
      <w:r w:rsidR="00AB1C0C" w:rsidRPr="00AB1C0C">
        <w:rPr>
          <w:vertAlign w:val="superscript"/>
        </w:rPr>
        <w:footnoteReference w:id="65"/>
      </w:r>
    </w:p>
    <w:p w14:paraId="5F0AC471" w14:textId="43B999DC" w:rsidR="00AB1C0C" w:rsidRPr="00AB1C0C" w:rsidRDefault="002E4D08" w:rsidP="00B83121">
      <w:pPr>
        <w:pStyle w:val="ListBullet"/>
      </w:pPr>
      <w:r>
        <w:t>p</w:t>
      </w:r>
      <w:r w:rsidR="00AB1C0C" w:rsidRPr="00AB1C0C">
        <w:t xml:space="preserve">rovision for standard and negotiated charges in NSW water, </w:t>
      </w:r>
      <w:r w:rsidR="00F30225">
        <w:t>SA water</w:t>
      </w:r>
      <w:r w:rsidR="00555887">
        <w:t xml:space="preserve">, </w:t>
      </w:r>
      <w:r w:rsidR="00AB1C0C" w:rsidRPr="00AB1C0C">
        <w:t>Tasmanian water, Western Australian water, national electricity distribution, and national gas distribution</w:t>
      </w:r>
    </w:p>
    <w:p w14:paraId="3B1F03A2" w14:textId="2905E333" w:rsidR="00AB1C0C" w:rsidRPr="00D35277" w:rsidRDefault="002E4D08" w:rsidP="00B83121">
      <w:pPr>
        <w:pStyle w:val="ListBullet"/>
        <w:rPr>
          <w:i/>
          <w:iCs/>
        </w:rPr>
      </w:pPr>
      <w:r>
        <w:lastRenderedPageBreak/>
        <w:t>a</w:t>
      </w:r>
      <w:r w:rsidR="00AB1C0C" w:rsidRPr="00AB1C0C">
        <w:t xml:space="preserve">ttribution of both new and existing assets is permitted in NSW water, SA water consistent with the Australian National Water Initiative Pricing Principles for urban water tariffs </w:t>
      </w:r>
      <w:r w:rsidR="00AB1C0C" w:rsidRPr="00D35277">
        <w:rPr>
          <w:i/>
          <w:iCs/>
        </w:rPr>
        <w:t xml:space="preserve">Principle 8: Setting </w:t>
      </w:r>
      <w:r w:rsidR="00501087">
        <w:rPr>
          <w:i/>
        </w:rPr>
        <w:t>New</w:t>
      </w:r>
      <w:r w:rsidR="000B579D">
        <w:rPr>
          <w:i/>
        </w:rPr>
        <w:t xml:space="preserve"> customer contributions</w:t>
      </w:r>
      <w:r w:rsidR="00AB1C0C" w:rsidRPr="00D35277">
        <w:rPr>
          <w:i/>
          <w:iCs/>
        </w:rPr>
        <w:t>:</w:t>
      </w:r>
    </w:p>
    <w:p w14:paraId="2FDB3CDD" w14:textId="4D75A2C2" w:rsidR="00AB1C0C" w:rsidRPr="00AB1C0C" w:rsidRDefault="00501087" w:rsidP="00AD285A">
      <w:pPr>
        <w:pStyle w:val="Quote"/>
      </w:pPr>
      <w:r>
        <w:t>New</w:t>
      </w:r>
      <w:r w:rsidR="000B579D">
        <w:t xml:space="preserve"> customer contributions</w:t>
      </w:r>
      <w:r w:rsidR="00AB1C0C" w:rsidRPr="00AB1C0C">
        <w:t xml:space="preserve"> should reflect the investment in both new and existing assets required to serve a new </w:t>
      </w:r>
      <w:proofErr w:type="spellStart"/>
      <w:r w:rsidR="00AB1C0C" w:rsidRPr="00AB1C0C">
        <w:t>development</w:t>
      </w:r>
      <w:r w:rsidR="00AB1C0C" w:rsidRPr="00AB1C0C">
        <w:rPr>
          <w:vertAlign w:val="superscript"/>
        </w:rPr>
        <w:t>i</w:t>
      </w:r>
      <w:proofErr w:type="spellEnd"/>
      <w:r w:rsidR="00AB1C0C" w:rsidRPr="00AB1C0C">
        <w:t xml:space="preserve"> and have regard to the </w:t>
      </w:r>
      <w:proofErr w:type="gramStart"/>
      <w:r w:rsidR="00AB1C0C" w:rsidRPr="00AB1C0C">
        <w:t>manner in which</w:t>
      </w:r>
      <w:proofErr w:type="gramEnd"/>
      <w:r w:rsidR="00AB1C0C" w:rsidRPr="00AB1C0C">
        <w:t xml:space="preserve"> ongoing water usage and service availability charges are set.</w:t>
      </w:r>
    </w:p>
    <w:p w14:paraId="08BAAA0E" w14:textId="77777777" w:rsidR="00AB1C0C" w:rsidRPr="00AB1C0C" w:rsidRDefault="00AB1C0C" w:rsidP="00AD285A">
      <w:pPr>
        <w:pStyle w:val="Quote"/>
      </w:pPr>
      <w:r w:rsidRPr="00AB1C0C">
        <w:t xml:space="preserve">Notes: </w:t>
      </w:r>
      <w:proofErr w:type="spellStart"/>
      <w:r w:rsidRPr="00AB1C0C">
        <w:t>i</w:t>
      </w:r>
      <w:proofErr w:type="spellEnd"/>
      <w:r w:rsidRPr="00AB1C0C">
        <w:t>. Where there are benefits beyond the boundary of the development, the developer charge should have regard to the share of capacity required to serve the development.</w:t>
      </w:r>
      <w:r w:rsidRPr="00AB1C0C">
        <w:rPr>
          <w:vertAlign w:val="superscript"/>
        </w:rPr>
        <w:footnoteReference w:id="66"/>
      </w:r>
    </w:p>
    <w:p w14:paraId="7C1A7E4D" w14:textId="75341FB8" w:rsidR="00AB1C0C" w:rsidRPr="00AB1C0C" w:rsidRDefault="00AB1C0C" w:rsidP="00AB1C0C">
      <w:r w:rsidRPr="00AB1C0C">
        <w:t>We also observe that some of these principle</w:t>
      </w:r>
      <w:r w:rsidR="00E17E4E">
        <w:t>s</w:t>
      </w:r>
      <w:r w:rsidRPr="00AB1C0C">
        <w:t>-based regimes provide additional prescription on how aspects of the net incremental cost approach should be applied. Areas where we see more specific prescription by regulator</w:t>
      </w:r>
      <w:r w:rsidR="00F742FC">
        <w:t>s</w:t>
      </w:r>
      <w:r w:rsidRPr="00AB1C0C">
        <w:t xml:space="preserve"> include:</w:t>
      </w:r>
    </w:p>
    <w:p w14:paraId="1F6C380D" w14:textId="443E73FD" w:rsidR="00AB1C0C" w:rsidRPr="00AB1C0C" w:rsidRDefault="00AB1C0C" w:rsidP="00B83121">
      <w:pPr>
        <w:pStyle w:val="ListBullet"/>
      </w:pPr>
      <w:r w:rsidRPr="00AB1C0C">
        <w:rPr>
          <w:b/>
          <w:bCs/>
        </w:rPr>
        <w:t>Attributable costs</w:t>
      </w:r>
      <w:r w:rsidR="001B40B4">
        <w:t xml:space="preserve"> –</w:t>
      </w:r>
      <w:r w:rsidRPr="00AB1C0C">
        <w:t xml:space="preserve"> </w:t>
      </w:r>
      <w:r w:rsidR="004F6A69">
        <w:t>For example,</w:t>
      </w:r>
      <w:r w:rsidRPr="00AB1C0C">
        <w:t xml:space="preserve"> IPART applies the following principles to attributable costs:</w:t>
      </w:r>
    </w:p>
    <w:p w14:paraId="15AF09BE" w14:textId="53A5F26C" w:rsidR="00AB1C0C" w:rsidRPr="00AB1C0C" w:rsidRDefault="00AB1C0C" w:rsidP="00673957">
      <w:pPr>
        <w:pStyle w:val="ListBullet2"/>
        <w:numPr>
          <w:ilvl w:val="1"/>
          <w:numId w:val="4"/>
        </w:numPr>
      </w:pPr>
      <w:r w:rsidRPr="00AB1C0C">
        <w:t>MEERA</w:t>
      </w:r>
      <w:r w:rsidR="00B00FBB">
        <w:t xml:space="preserve"> (modern engineering equivalent replacement asset)</w:t>
      </w:r>
      <w:r w:rsidRPr="00AB1C0C">
        <w:t xml:space="preserve"> approach is used to value existing assets and estimated efficient costs is to be used as the basis for assets yet to be commissioned</w:t>
      </w:r>
    </w:p>
    <w:p w14:paraId="77156848" w14:textId="77777777" w:rsidR="00AB1C0C" w:rsidRPr="00AB1C0C" w:rsidRDefault="00AB1C0C" w:rsidP="00673957">
      <w:pPr>
        <w:pStyle w:val="ListBullet2"/>
        <w:numPr>
          <w:ilvl w:val="1"/>
          <w:numId w:val="4"/>
        </w:numPr>
      </w:pPr>
      <w:r w:rsidRPr="00AB1C0C">
        <w:t xml:space="preserve">Shared assets are apportioned between Developer Servicing Plan areas using expected utilisation based on equivalent tenements </w:t>
      </w:r>
    </w:p>
    <w:p w14:paraId="0B4E7D15" w14:textId="2AF48BF3" w:rsidR="00AB1C0C" w:rsidRPr="00AB1C0C" w:rsidRDefault="00AB1C0C" w:rsidP="00B83121">
      <w:pPr>
        <w:pStyle w:val="ListBullet"/>
      </w:pPr>
      <w:r w:rsidRPr="00AB1C0C">
        <w:rPr>
          <w:b/>
          <w:bCs/>
        </w:rPr>
        <w:t>Prescribing the forecasting horizon</w:t>
      </w:r>
      <w:r w:rsidR="001B40B4">
        <w:t xml:space="preserve"> –</w:t>
      </w:r>
      <w:r w:rsidRPr="00AB1C0C">
        <w:t xml:space="preserve"> IPART requires 30 years, and the A</w:t>
      </w:r>
      <w:r w:rsidR="009B0C8A">
        <w:t xml:space="preserve">ustralian </w:t>
      </w:r>
      <w:r w:rsidRPr="00AB1C0C">
        <w:t>E</w:t>
      </w:r>
      <w:r w:rsidR="009B0C8A">
        <w:t xml:space="preserve">nergy </w:t>
      </w:r>
      <w:r w:rsidRPr="00AB1C0C">
        <w:t>R</w:t>
      </w:r>
      <w:r w:rsidR="009B0C8A">
        <w:t>egulator (</w:t>
      </w:r>
      <w:r w:rsidRPr="00AB1C0C">
        <w:t>AER</w:t>
      </w:r>
      <w:r w:rsidR="009B0C8A">
        <w:t>)</w:t>
      </w:r>
      <w:r w:rsidRPr="00AB1C0C">
        <w:t xml:space="preserve"> requires 30 </w:t>
      </w:r>
      <w:r w:rsidR="003432D2">
        <w:t xml:space="preserve">years </w:t>
      </w:r>
      <w:r w:rsidRPr="00AB1C0C">
        <w:t xml:space="preserve">for residential and 15 </w:t>
      </w:r>
      <w:r w:rsidR="003432D2">
        <w:t xml:space="preserve">years </w:t>
      </w:r>
      <w:r w:rsidRPr="00AB1C0C">
        <w:t>for non-residential</w:t>
      </w:r>
    </w:p>
    <w:p w14:paraId="5D2149E5" w14:textId="02A9B75B" w:rsidR="00AB1C0C" w:rsidRPr="00AB1C0C" w:rsidRDefault="00AB1C0C" w:rsidP="00B83121">
      <w:pPr>
        <w:pStyle w:val="ListBullet"/>
      </w:pPr>
      <w:r w:rsidRPr="00AB1C0C">
        <w:rPr>
          <w:b/>
          <w:bCs/>
        </w:rPr>
        <w:t>Prescribing how price extrapolation works</w:t>
      </w:r>
      <w:r w:rsidR="001B40B4">
        <w:t xml:space="preserve"> –</w:t>
      </w:r>
      <w:r w:rsidRPr="00AB1C0C">
        <w:t xml:space="preserve"> IPART and the AER require this be based on the prices in the current price determination  </w:t>
      </w:r>
    </w:p>
    <w:p w14:paraId="7425F923" w14:textId="4A5EF499" w:rsidR="009552EB" w:rsidRDefault="00AB1C0C" w:rsidP="00B83121">
      <w:pPr>
        <w:pStyle w:val="ListBullet"/>
      </w:pPr>
      <w:r w:rsidRPr="00AB1C0C">
        <w:rPr>
          <w:b/>
          <w:bCs/>
        </w:rPr>
        <w:t>Pioneer rebates</w:t>
      </w:r>
      <w:r w:rsidR="00F92AF7">
        <w:rPr>
          <w:b/>
          <w:bCs/>
        </w:rPr>
        <w:t xml:space="preserve"> –</w:t>
      </w:r>
      <w:r w:rsidRPr="00AB1C0C">
        <w:t xml:space="preserve"> IPART and the AER require businesses to have a policy for when rebates are payable to a developer who has funded an out of sequence development of extension</w:t>
      </w:r>
      <w:r w:rsidR="009552EB" w:rsidRPr="009552EB">
        <w:t xml:space="preserve"> </w:t>
      </w:r>
      <w:r w:rsidR="009552EB">
        <w:t>that is subsequently connected to and used by others within a period specified in the pioneer scheme rebate policy.</w:t>
      </w:r>
    </w:p>
    <w:p w14:paraId="6FD3BA5C" w14:textId="07F9F5D3" w:rsidR="009552EB" w:rsidRDefault="009552EB" w:rsidP="00B83121">
      <w:pPr>
        <w:pStyle w:val="ListBullet"/>
      </w:pPr>
      <w:r w:rsidRPr="00673957">
        <w:rPr>
          <w:b/>
        </w:rPr>
        <w:t>Developer payment schemes</w:t>
      </w:r>
      <w:r w:rsidR="00F92AF7">
        <w:t xml:space="preserve"> –</w:t>
      </w:r>
      <w:r>
        <w:t xml:space="preserve"> IPART’s 2018 determination also allows the payment of </w:t>
      </w:r>
      <w:r w:rsidR="00F41D7C">
        <w:t>new</w:t>
      </w:r>
      <w:r w:rsidR="000B579D">
        <w:t xml:space="preserve"> customer contributions</w:t>
      </w:r>
      <w:r>
        <w:t xml:space="preserve"> on </w:t>
      </w:r>
      <w:r w:rsidR="00370B6A">
        <w:t xml:space="preserve">an </w:t>
      </w:r>
      <w:r>
        <w:t>instalment basis of up to 20 years for (a) connecting new services to an existing property and (b) upgrading an existing service to an existing property.</w:t>
      </w:r>
      <w:r w:rsidR="00E43A6A">
        <w:rPr>
          <w:rStyle w:val="FootnoteReference"/>
        </w:rPr>
        <w:footnoteReference w:id="67"/>
      </w:r>
      <w:r>
        <w:t xml:space="preserve">  </w:t>
      </w:r>
    </w:p>
    <w:p w14:paraId="71306DC3" w14:textId="273A126A" w:rsidR="00C402D7" w:rsidRDefault="009552EB">
      <w:pPr>
        <w:pStyle w:val="ListBullet"/>
      </w:pPr>
      <w:r w:rsidRPr="00673957">
        <w:rPr>
          <w:b/>
        </w:rPr>
        <w:t>Security fees</w:t>
      </w:r>
      <w:r w:rsidR="00F92AF7">
        <w:t xml:space="preserve"> –</w:t>
      </w:r>
      <w:r>
        <w:t xml:space="preserve"> The AER permits electricity networks to charge developer security fees based on their customer-specific risk assessments to ensure the incremental revenues used in their </w:t>
      </w:r>
      <w:r>
        <w:lastRenderedPageBreak/>
        <w:t>net incremental cost calculations are earned and the existing customer base is no worse off if a connection has lower usage or is disconnected early.</w:t>
      </w:r>
      <w:r w:rsidR="008A064A">
        <w:rPr>
          <w:rStyle w:val="FootnoteReference"/>
        </w:rPr>
        <w:footnoteReference w:id="68"/>
      </w:r>
      <w:bookmarkEnd w:id="77"/>
      <w:bookmarkEnd w:id="78"/>
      <w:bookmarkEnd w:id="79"/>
    </w:p>
    <w:p w14:paraId="79402E10" w14:textId="137F5103" w:rsidR="009C3565" w:rsidRDefault="009C3565" w:rsidP="00104A1F"/>
    <w:sectPr w:rsidR="009C3565" w:rsidSect="005B0C7E">
      <w:footerReference w:type="default" r:id="rId31"/>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E8960" w14:textId="77777777" w:rsidR="00A20F89" w:rsidRDefault="00A20F89" w:rsidP="00AE03FA">
      <w:pPr>
        <w:spacing w:after="0"/>
      </w:pPr>
      <w:r>
        <w:separator/>
      </w:r>
    </w:p>
    <w:p w14:paraId="4278FEF1" w14:textId="77777777" w:rsidR="00A20F89" w:rsidRDefault="00A20F89"/>
  </w:endnote>
  <w:endnote w:type="continuationSeparator" w:id="0">
    <w:p w14:paraId="4776B29A" w14:textId="77777777" w:rsidR="00A20F89" w:rsidRDefault="00A20F89" w:rsidP="00AE03FA">
      <w:pPr>
        <w:spacing w:after="0"/>
      </w:pPr>
      <w:r>
        <w:continuationSeparator/>
      </w:r>
    </w:p>
    <w:p w14:paraId="2FAEA4AC" w14:textId="77777777" w:rsidR="00A20F89" w:rsidRDefault="00A20F89"/>
  </w:endnote>
  <w:endnote w:type="continuationNotice" w:id="1">
    <w:p w14:paraId="6F3F43E2" w14:textId="77777777" w:rsidR="00A20F89" w:rsidRDefault="00A20F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D0778" w14:textId="77777777" w:rsidR="00EF0B02" w:rsidRDefault="00D90CF4">
    <w:r>
      <w:cr/>
    </w:r>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4BDF" w14:textId="5026B051" w:rsidR="006A5F68" w:rsidRPr="00707B2F" w:rsidRDefault="006A5F68" w:rsidP="004E35DF">
    <w:pPr>
      <w:pStyle w:val="FooterSpace"/>
      <w:ind w:left="426" w:right="707" w:hanging="426"/>
    </w:pPr>
    <w:r>
      <w:t xml:space="preserve">4. </w:t>
    </w:r>
    <w:r>
      <w:tab/>
      <w:t>Key i</w:t>
    </w:r>
    <w:r w:rsidR="008C6E26">
      <w:t>mplementation i</w:t>
    </w:r>
    <w:r>
      <w:t xml:space="preserve">ssues </w:t>
    </w:r>
    <w:r w:rsidR="00E21228">
      <w:t>to address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A5F68" w14:paraId="67C15347"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59A952" w14:textId="77777777" w:rsidR="006A5F68" w:rsidRPr="009E15D6" w:rsidRDefault="006A5F68"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7EA4B63D" w14:textId="23F2BEF8" w:rsidR="006A5F68" w:rsidRPr="002C2ADF" w:rsidRDefault="006A5F68" w:rsidP="00A236AB">
    <w:pPr>
      <w:pStyle w:val="Footer"/>
      <w:ind w:right="283"/>
      <w:rPr>
        <w:b/>
      </w:rPr>
    </w:pPr>
    <w:r>
      <w:t xml:space="preserve">Essential Services Commission </w:t>
    </w:r>
    <w:r>
      <w:rPr>
        <w:b/>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33D4B" w14:textId="4AABE16F" w:rsidR="003317F1" w:rsidRPr="00707B2F" w:rsidRDefault="003317F1" w:rsidP="004E35DF">
    <w:pPr>
      <w:pStyle w:val="FooterSpace"/>
      <w:ind w:left="426" w:right="707" w:hanging="426"/>
    </w:pPr>
    <w:r>
      <w:t>Appendix A – Technical concepts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317F1" w14:paraId="164FEBB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CA30DA8" w14:textId="77777777" w:rsidR="003317F1" w:rsidRPr="009E15D6" w:rsidRDefault="003317F1"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1311D82B" w14:textId="3D64D389" w:rsidR="00202B4D" w:rsidRPr="002C2ADF" w:rsidRDefault="003317F1" w:rsidP="00A236AB">
    <w:pPr>
      <w:pStyle w:val="Footer"/>
      <w:ind w:right="283"/>
      <w:rPr>
        <w:b/>
      </w:rPr>
    </w:pPr>
    <w:r>
      <w:t>Essential Services Commission</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C15FE" w14:textId="77777777" w:rsidR="00EF0B02" w:rsidRDefault="00D90CF4">
    <w:r>
      <w:cr/>
    </w:r>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480F" w14:textId="79AC44EE" w:rsidR="003A30F3" w:rsidRDefault="00610F8F"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00F3D74B"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EA311EE"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2597073A" w14:textId="6C3C3C2E" w:rsidR="003A30F3" w:rsidRPr="002C2ADF" w:rsidRDefault="003A30F3" w:rsidP="00A236AB">
    <w:pPr>
      <w:pStyle w:val="Footer"/>
      <w:ind w:right="707"/>
      <w:rPr>
        <w:b/>
      </w:rPr>
    </w:pPr>
    <w:r>
      <w:t xml:space="preserve">Essential Services Commission </w:t>
    </w: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A93C" w14:textId="77777777" w:rsidR="003A30F3" w:rsidRPr="00707B2F" w:rsidRDefault="003A30F3" w:rsidP="00A236AB">
    <w:pPr>
      <w:pStyle w:val="FooterSpace"/>
      <w:ind w:right="707"/>
    </w:pPr>
    <w:r>
      <w:t>Contents</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6AB9E79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2192C01"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78F6AC20" w14:textId="517692CE" w:rsidR="003A30F3" w:rsidRPr="002C2ADF" w:rsidRDefault="003A30F3" w:rsidP="00A236AB">
    <w:pPr>
      <w:pStyle w:val="Footer"/>
      <w:ind w:right="283"/>
      <w:rPr>
        <w:b/>
      </w:rPr>
    </w:pPr>
    <w:r>
      <w:t xml:space="preserve">Essential Services Commission </w:t>
    </w:r>
    <w:r w:rsidR="00454B46">
      <w:rPr>
        <w:b/>
      </w:rPr>
      <w:t xml:space="preserve">   </w:t>
    </w:r>
    <w:r>
      <w:t xml:space="preserve">Essential Services Commission </w:t>
    </w:r>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EB0A" w14:textId="77777777" w:rsidR="00EC4BC3" w:rsidRPr="00707B2F" w:rsidRDefault="00FE1629" w:rsidP="000A7423">
    <w:pPr>
      <w:pStyle w:val="FooterSpace"/>
      <w:numPr>
        <w:ilvl w:val="0"/>
        <w:numId w:val="23"/>
      </w:numPr>
      <w:ind w:left="426" w:right="707" w:hanging="426"/>
    </w:pPr>
    <w:r>
      <w:t>Overview</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EC4BC3" w14:paraId="1B3558C1"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103D5FE" w14:textId="77777777" w:rsidR="00EC4BC3" w:rsidRPr="009E15D6" w:rsidRDefault="00EC4BC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689A91AB" w14:textId="3583AE9A" w:rsidR="00EC4BC3" w:rsidRPr="002C2ADF" w:rsidRDefault="00EC4BC3" w:rsidP="00A236AB">
    <w:pPr>
      <w:pStyle w:val="Footer"/>
      <w:ind w:right="283"/>
      <w:rPr>
        <w:b/>
      </w:rPr>
    </w:pPr>
    <w:r>
      <w:t xml:space="preserve">Essential Services Commission </w:t>
    </w:r>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CA740" w14:textId="77777777" w:rsidR="0060065F" w:rsidRPr="00707B2F" w:rsidRDefault="00CD06DB" w:rsidP="004E35DF">
    <w:pPr>
      <w:pStyle w:val="FooterSpace"/>
      <w:ind w:left="426" w:right="707" w:hanging="426"/>
    </w:pPr>
    <w:r>
      <w:t>2</w:t>
    </w:r>
    <w:r w:rsidR="004E35DF">
      <w:t>.</w:t>
    </w:r>
    <w:r w:rsidR="004E35DF">
      <w:tab/>
    </w:r>
    <w:r w:rsidRPr="00CD06DB">
      <w:t>New customer contributions and regulatory frame</w:t>
    </w:r>
    <w:r w:rsidR="00A822EA">
      <w:t>wor</w:t>
    </w:r>
    <w:r w:rsidR="00A23826">
      <w:t>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EC4BC3" w14:paraId="75132B92"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BB90C22" w14:textId="77777777" w:rsidR="00EC4BC3" w:rsidRPr="009E15D6" w:rsidRDefault="00EC4BC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7B7B7B38" w14:textId="77777777" w:rsidR="00EC4BC3" w:rsidRPr="002C2ADF" w:rsidRDefault="00EC4BC3" w:rsidP="00A236AB">
    <w:pPr>
      <w:pStyle w:val="Footer"/>
      <w:ind w:right="283"/>
      <w:rPr>
        <w:b/>
      </w:rPr>
    </w:pPr>
    <w:r>
      <w:t xml:space="preserve">Essential Services Commission </w:t>
    </w:r>
    <w:r>
      <w:rPr>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287FC" w14:textId="7AE6BC0C" w:rsidR="003F42B9" w:rsidRPr="00707B2F" w:rsidRDefault="00BF718A" w:rsidP="004E35DF">
    <w:pPr>
      <w:pStyle w:val="FooterSpace"/>
      <w:ind w:left="426" w:right="707" w:hanging="426"/>
    </w:pPr>
    <w:r>
      <w:t>3</w:t>
    </w:r>
    <w:r w:rsidR="003F42B9">
      <w:t>.</w:t>
    </w:r>
    <w:r w:rsidR="003F42B9">
      <w:tab/>
    </w:r>
    <w:r w:rsidRPr="00BF718A">
      <w:t>A principles-based new customer contributions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F42B9" w14:paraId="39FBDD46"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CD7B307" w14:textId="77777777" w:rsidR="003F42B9" w:rsidRPr="009E15D6" w:rsidRDefault="003F42B9"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0E649615" w14:textId="77777777" w:rsidR="003F42B9" w:rsidRPr="002C2ADF" w:rsidRDefault="003F42B9" w:rsidP="00A236AB">
    <w:pPr>
      <w:pStyle w:val="Footer"/>
      <w:ind w:right="283"/>
      <w:rPr>
        <w:b/>
      </w:rPr>
    </w:pPr>
    <w:r>
      <w:t xml:space="preserve">Essential Services Commission </w:t>
    </w:r>
    <w:r>
      <w:rPr>
        <w:b/>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0B92" w14:textId="1585C6EA" w:rsidR="0060065F" w:rsidRPr="00707B2F" w:rsidRDefault="004E35DF" w:rsidP="004E35DF">
    <w:pPr>
      <w:pStyle w:val="FooterSpace"/>
      <w:ind w:left="426" w:right="707" w:hanging="426"/>
    </w:pPr>
    <w:r>
      <w:t>3.</w:t>
    </w:r>
    <w:r>
      <w:tab/>
    </w:r>
    <w:r w:rsidR="00B7708C" w:rsidRPr="00B7708C">
      <w:t>A principles-based</w:t>
    </w:r>
    <w:r w:rsidR="0060065F">
      <w:t xml:space="preserve"> </w:t>
    </w:r>
    <w:r w:rsidR="000C1A18">
      <w:t>new</w:t>
    </w:r>
    <w:r w:rsidR="000B579D">
      <w:t xml:space="preserve"> customer contributions</w:t>
    </w:r>
    <w:r w:rsidR="00B7708C" w:rsidRPr="00B7708C">
      <w:t xml:space="preserve">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EC4BC3" w14:paraId="7D5DF129"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903AF03" w14:textId="77777777" w:rsidR="00EC4BC3" w:rsidRPr="009E15D6" w:rsidRDefault="00EC4BC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17F9A164" w14:textId="77777777" w:rsidR="00EC4BC3" w:rsidRPr="002C2ADF" w:rsidRDefault="00EC4BC3" w:rsidP="00A236AB">
    <w:pPr>
      <w:pStyle w:val="Footer"/>
      <w:ind w:right="283"/>
      <w:rPr>
        <w:b/>
      </w:rPr>
    </w:pPr>
    <w:r>
      <w:t xml:space="preserve">Essential Services Commission </w:t>
    </w:r>
    <w:r>
      <w:rPr>
        <w:b/>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0C1C" w14:textId="24DFC02C" w:rsidR="006E73C7" w:rsidRPr="00707B2F" w:rsidRDefault="004E35DF" w:rsidP="004E35DF">
    <w:pPr>
      <w:pStyle w:val="FooterSpace"/>
      <w:ind w:left="426" w:right="707" w:hanging="426"/>
    </w:pPr>
    <w:r>
      <w:t xml:space="preserve">4. </w:t>
    </w:r>
    <w:r>
      <w:tab/>
    </w:r>
    <w:r w:rsidR="007607CE" w:rsidRPr="007607CE">
      <w:t>Good</w:t>
    </w:r>
    <w:r w:rsidR="006416DB">
      <w:t xml:space="preserve"> implementation of new customer contributions</w:t>
    </w:r>
    <w:r w:rsidR="007607CE" w:rsidRPr="007607CE">
      <w:t xml:space="preserve"> within a principles-based framework</w:t>
    </w: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73C7" w14:paraId="75D40AB1"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0DF6935" w14:textId="77777777" w:rsidR="006E73C7" w:rsidRPr="009E15D6" w:rsidRDefault="006E73C7"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iii</w:t>
          </w:r>
          <w:r w:rsidRPr="009E15D6">
            <w:rPr>
              <w:rStyle w:val="PageNumber"/>
            </w:rPr>
            <w:fldChar w:fldCharType="end"/>
          </w:r>
        </w:p>
      </w:tc>
    </w:tr>
  </w:tbl>
  <w:p w14:paraId="62AB0C7A" w14:textId="46BA959C" w:rsidR="006E73C7" w:rsidRPr="002C2ADF" w:rsidRDefault="006E73C7" w:rsidP="00A236AB">
    <w:pPr>
      <w:pStyle w:val="Footer"/>
      <w:ind w:right="283"/>
      <w:rPr>
        <w:b/>
      </w:rPr>
    </w:pPr>
    <w:r>
      <w:t xml:space="preserve">Essential Services Commission </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F6798" w14:textId="77777777" w:rsidR="00A20F89" w:rsidRPr="00CF33F6" w:rsidDel="00C730CD" w:rsidRDefault="00A20F89" w:rsidP="00AE03FA">
      <w:pPr>
        <w:spacing w:after="0"/>
        <w:rPr>
          <w:color w:val="75787B" w:themeColor="background2"/>
        </w:rPr>
      </w:pPr>
      <w:bookmarkStart w:id="0" w:name="_Hlk480978878"/>
      <w:bookmarkEnd w:id="0"/>
      <w:r w:rsidRPr="00CF33F6">
        <w:rPr>
          <w:color w:val="75787B" w:themeColor="background2"/>
        </w:rPr>
        <w:separator/>
      </w:r>
    </w:p>
  </w:footnote>
  <w:footnote w:type="continuationSeparator" w:id="0">
    <w:p w14:paraId="3F47ED95" w14:textId="77777777" w:rsidR="00A20F89" w:rsidDel="00C730CD" w:rsidRDefault="00A20F89" w:rsidP="00AE03FA">
      <w:pPr>
        <w:spacing w:after="0"/>
      </w:pPr>
      <w:r>
        <w:continuationSeparator/>
      </w:r>
    </w:p>
  </w:footnote>
  <w:footnote w:type="continuationNotice" w:id="1">
    <w:p w14:paraId="4BD18D00" w14:textId="77777777" w:rsidR="00A20F89" w:rsidRDefault="00A20F89">
      <w:pPr>
        <w:spacing w:before="0" w:after="0" w:line="240" w:lineRule="auto"/>
      </w:pPr>
    </w:p>
  </w:footnote>
  <w:footnote w:id="2">
    <w:p w14:paraId="4E07294A" w14:textId="77777777" w:rsidR="00A64889" w:rsidRDefault="00A64889" w:rsidP="00A64889">
      <w:pPr>
        <w:pStyle w:val="FootnoteText"/>
        <w:ind w:left="284" w:hanging="284"/>
      </w:pPr>
      <w:r>
        <w:rPr>
          <w:rStyle w:val="FootnoteReference"/>
        </w:rPr>
        <w:footnoteRef/>
      </w:r>
      <w:r>
        <w:t xml:space="preserve"> </w:t>
      </w:r>
      <w:r>
        <w:tab/>
        <w:t xml:space="preserve">Essential Services Commission 2013, </w:t>
      </w:r>
      <w:r>
        <w:rPr>
          <w:i/>
          <w:iCs/>
        </w:rPr>
        <w:t xml:space="preserve">New customer contributions: Explanatory Note, </w:t>
      </w:r>
      <w:r>
        <w:t>December, p. 5, cl 1.2.</w:t>
      </w:r>
    </w:p>
  </w:footnote>
  <w:footnote w:id="3">
    <w:p w14:paraId="19F716B4" w14:textId="3D960422" w:rsidR="00FB26E0" w:rsidRDefault="00FB26E0" w:rsidP="00B355AA">
      <w:pPr>
        <w:pStyle w:val="FootnoteText"/>
        <w:ind w:left="284" w:hanging="284"/>
      </w:pPr>
      <w:r>
        <w:rPr>
          <w:rStyle w:val="FootnoteReference"/>
        </w:rPr>
        <w:footnoteRef/>
      </w:r>
      <w:r>
        <w:t xml:space="preserve"> </w:t>
      </w:r>
      <w:r w:rsidR="00B355AA">
        <w:tab/>
      </w:r>
      <w:r>
        <w:t>Regional Urban Water Authorities are defined and listed in section 4</w:t>
      </w:r>
      <w:r>
        <w:t xml:space="preserve">A(1) of the Water Industry Act 1994 (Vic).  They collectively comprise twelve (12) government owned water business providing urban water, sewerage and recycled water services in regional Victoria.  </w:t>
      </w:r>
    </w:p>
  </w:footnote>
  <w:footnote w:id="4">
    <w:p w14:paraId="372EC88A" w14:textId="2C78956F" w:rsidR="00FB26E0" w:rsidRDefault="00FB26E0" w:rsidP="00B355AA">
      <w:pPr>
        <w:pStyle w:val="FootnoteText"/>
        <w:ind w:left="284" w:hanging="284"/>
      </w:pPr>
      <w:r>
        <w:rPr>
          <w:rStyle w:val="FootnoteReference"/>
        </w:rPr>
        <w:footnoteRef/>
      </w:r>
      <w:r>
        <w:t xml:space="preserve"> </w:t>
      </w:r>
      <w:r w:rsidR="00B355AA">
        <w:tab/>
      </w:r>
      <w:r>
        <w:t xml:space="preserve">Metropolitan water corporations are defined in section 3(1) of the Water Act 1989 (Vic) and comprise Greater Western Water Corporation, </w:t>
      </w:r>
      <w:r>
        <w:t xml:space="preserve">South East Water Corporation and Yarra Valley Water Corporation. </w:t>
      </w:r>
    </w:p>
  </w:footnote>
  <w:footnote w:id="5">
    <w:p w14:paraId="57165797" w14:textId="77777777" w:rsidR="00CF190D" w:rsidRDefault="00CF190D" w:rsidP="00CF190D">
      <w:pPr>
        <w:pStyle w:val="FootnoteText"/>
        <w:ind w:left="284" w:hanging="284"/>
      </w:pPr>
      <w:r>
        <w:rPr>
          <w:rStyle w:val="FootnoteReference"/>
        </w:rPr>
        <w:footnoteRef/>
      </w:r>
      <w:r>
        <w:t xml:space="preserve"> </w:t>
      </w:r>
      <w:r>
        <w:tab/>
        <w:t>Water Act 1989 (Vic), see s 268 and s 269.</w:t>
      </w:r>
    </w:p>
  </w:footnote>
  <w:footnote w:id="6">
    <w:p w14:paraId="0F2B1B18" w14:textId="77777777" w:rsidR="00CF190D" w:rsidRDefault="00CF190D" w:rsidP="00CF190D">
      <w:pPr>
        <w:pStyle w:val="FootnoteText"/>
        <w:ind w:left="284" w:hanging="284"/>
      </w:pPr>
      <w:r>
        <w:rPr>
          <w:rStyle w:val="FootnoteReference"/>
        </w:rPr>
        <w:footnoteRef/>
      </w:r>
      <w:r>
        <w:t xml:space="preserve"> </w:t>
      </w:r>
      <w:r>
        <w:tab/>
        <w:t xml:space="preserve">Water Act 1989 (Vic), s 268. </w:t>
      </w:r>
    </w:p>
  </w:footnote>
  <w:footnote w:id="7">
    <w:p w14:paraId="03BB1607" w14:textId="77777777" w:rsidR="00CF190D" w:rsidRPr="002D2963" w:rsidRDefault="00CF190D" w:rsidP="00CF190D">
      <w:pPr>
        <w:pStyle w:val="FootnoteText"/>
        <w:ind w:left="284" w:hanging="284"/>
      </w:pPr>
      <w:r w:rsidRPr="002D2963">
        <w:rPr>
          <w:rStyle w:val="FootnoteReference"/>
        </w:rPr>
        <w:footnoteRef/>
      </w:r>
      <w:r w:rsidRPr="002D2963">
        <w:t xml:space="preserve"> </w:t>
      </w:r>
      <w:r>
        <w:tab/>
        <w:t>Water Act 1989 (Vic), s 269.</w:t>
      </w:r>
    </w:p>
  </w:footnote>
  <w:footnote w:id="8">
    <w:p w14:paraId="3B48C7C3" w14:textId="77777777" w:rsidR="00CF190D" w:rsidRDefault="00CF190D" w:rsidP="00CF190D">
      <w:pPr>
        <w:pStyle w:val="FootnoteText"/>
        <w:ind w:left="284" w:hanging="284"/>
      </w:pPr>
      <w:r>
        <w:rPr>
          <w:rStyle w:val="FootnoteReference"/>
        </w:rPr>
        <w:footnoteRef/>
      </w:r>
      <w:r>
        <w:t xml:space="preserve"> </w:t>
      </w:r>
      <w:r>
        <w:tab/>
        <w:t>As noted in Appendix A, w</w:t>
      </w:r>
      <w:r w:rsidRPr="00AB1C0C">
        <w:t xml:space="preserve">hether costs are recovered upfront or via the </w:t>
      </w:r>
      <w:r>
        <w:t xml:space="preserve">regulatory asset base, </w:t>
      </w:r>
      <w:r w:rsidRPr="00AB1C0C">
        <w:t>the business recovers the same total costs in net present value terms</w:t>
      </w:r>
      <w:r>
        <w:t>. By including costs in the regulatory asset base, costs are recovered by a water business over a relatively long period, in line with assumptions about asset lives.</w:t>
      </w:r>
    </w:p>
  </w:footnote>
  <w:footnote w:id="9">
    <w:p w14:paraId="722446AC" w14:textId="77777777" w:rsidR="00CF190D" w:rsidRDefault="00CF190D" w:rsidP="00CF190D">
      <w:pPr>
        <w:pStyle w:val="FootnoteText"/>
        <w:ind w:left="284" w:hanging="284"/>
      </w:pPr>
      <w:r>
        <w:rPr>
          <w:rStyle w:val="FootnoteReference"/>
        </w:rPr>
        <w:footnoteRef/>
      </w:r>
      <w:r>
        <w:t xml:space="preserve">  </w:t>
      </w:r>
      <w:r>
        <w:tab/>
        <w:t xml:space="preserve">Sources: 2023 final decision financial models, water business annual reports, water business regulatory accounts 2012-23. </w:t>
      </w:r>
    </w:p>
  </w:footnote>
  <w:footnote w:id="10">
    <w:p w14:paraId="0CCE0D09" w14:textId="77777777" w:rsidR="007C16D4" w:rsidRDefault="007C16D4" w:rsidP="007C16D4">
      <w:pPr>
        <w:pStyle w:val="FootnoteText"/>
        <w:ind w:left="284" w:hanging="284"/>
      </w:pPr>
      <w:r>
        <w:rPr>
          <w:rStyle w:val="FootnoteReference"/>
        </w:rPr>
        <w:footnoteRef/>
      </w:r>
      <w:r>
        <w:t xml:space="preserve"> </w:t>
      </w:r>
      <w:r>
        <w:tab/>
        <w:t xml:space="preserve">Water Industry Regulatory Order 2014, cl 7. </w:t>
      </w:r>
    </w:p>
  </w:footnote>
  <w:footnote w:id="11">
    <w:p w14:paraId="699BC895" w14:textId="77777777" w:rsidR="00581F17" w:rsidRDefault="00581F17" w:rsidP="00581F17">
      <w:pPr>
        <w:pStyle w:val="FootnoteText"/>
        <w:ind w:left="284" w:hanging="284"/>
      </w:pPr>
      <w:r>
        <w:rPr>
          <w:rStyle w:val="FootnoteReference"/>
        </w:rPr>
        <w:footnoteRef/>
      </w:r>
      <w:r>
        <w:t xml:space="preserve"> </w:t>
      </w:r>
      <w:r>
        <w:tab/>
        <w:t>Water Industry Regulatory Order 2014, cl 13.</w:t>
      </w:r>
    </w:p>
  </w:footnote>
  <w:footnote w:id="12">
    <w:p w14:paraId="66785607" w14:textId="77777777" w:rsidR="007C16D4" w:rsidRDefault="007C16D4" w:rsidP="007C16D4">
      <w:pPr>
        <w:pStyle w:val="FootnoteText"/>
        <w:ind w:left="284" w:hanging="284"/>
      </w:pPr>
      <w:r>
        <w:rPr>
          <w:rStyle w:val="FootnoteReference"/>
        </w:rPr>
        <w:footnoteRef/>
      </w:r>
      <w:r>
        <w:t xml:space="preserve"> </w:t>
      </w:r>
      <w:r>
        <w:tab/>
      </w:r>
      <w:r w:rsidRPr="00F3032D">
        <w:t>Essential Services Commission 2021, 2023 water price review: Guidance paper, 26 October</w:t>
      </w:r>
      <w:r>
        <w:t>, p.58.</w:t>
      </w:r>
    </w:p>
  </w:footnote>
  <w:footnote w:id="13">
    <w:p w14:paraId="31894AAC" w14:textId="313FDE4D" w:rsidR="007C16D4" w:rsidRDefault="007C16D4" w:rsidP="007C16D4">
      <w:pPr>
        <w:pStyle w:val="FootnoteText"/>
        <w:ind w:left="284" w:hanging="284"/>
      </w:pPr>
      <w:r>
        <w:rPr>
          <w:rStyle w:val="FootnoteReference"/>
        </w:rPr>
        <w:footnoteRef/>
      </w:r>
      <w:r>
        <w:t xml:space="preserve"> </w:t>
      </w:r>
      <w:r>
        <w:tab/>
        <w:t xml:space="preserve">Essential Services Commission 2013, </w:t>
      </w:r>
      <w:r>
        <w:rPr>
          <w:i/>
          <w:iCs/>
        </w:rPr>
        <w:t xml:space="preserve">New customer contributions: Explanatory Note, </w:t>
      </w:r>
      <w:r>
        <w:t xml:space="preserve">December, p. </w:t>
      </w:r>
      <w:r w:rsidR="00E95C05">
        <w:t>2</w:t>
      </w:r>
      <w:r>
        <w:t>, cl 1.2.</w:t>
      </w:r>
    </w:p>
  </w:footnote>
  <w:footnote w:id="14">
    <w:p w14:paraId="61A6B719" w14:textId="77777777" w:rsidR="00B34348" w:rsidRDefault="00B34348" w:rsidP="00B34348">
      <w:pPr>
        <w:pStyle w:val="FootnoteText"/>
        <w:ind w:left="284" w:hanging="284"/>
      </w:pPr>
      <w:r>
        <w:rPr>
          <w:rStyle w:val="FootnoteReference"/>
        </w:rPr>
        <w:footnoteRef/>
      </w:r>
      <w:r>
        <w:t xml:space="preserve"> </w:t>
      </w:r>
      <w:r>
        <w:tab/>
        <w:t>Essential Services Commission 2015, Review of Water Pricing Approach Consultation Paper, April, p. 20.</w:t>
      </w:r>
    </w:p>
  </w:footnote>
  <w:footnote w:id="15">
    <w:p w14:paraId="530C15C8" w14:textId="77777777" w:rsidR="004B374F" w:rsidRDefault="004B374F" w:rsidP="004B374F">
      <w:pPr>
        <w:pStyle w:val="FootnoteText"/>
      </w:pPr>
      <w:r>
        <w:rPr>
          <w:rStyle w:val="FootnoteReference"/>
        </w:rPr>
        <w:footnoteRef/>
      </w:r>
      <w:r>
        <w:t xml:space="preserve"> Essential Services Commission Act 2001 (Vic), s 10(a) read with s 32.  </w:t>
      </w:r>
    </w:p>
  </w:footnote>
  <w:footnote w:id="16">
    <w:p w14:paraId="11AC8D59" w14:textId="77777777" w:rsidR="004B374F" w:rsidRPr="0010622A" w:rsidRDefault="004B374F" w:rsidP="004B374F">
      <w:pPr>
        <w:pStyle w:val="FootnoteText"/>
      </w:pPr>
      <w:r>
        <w:rPr>
          <w:rStyle w:val="FootnoteReference"/>
        </w:rPr>
        <w:footnoteRef/>
      </w:r>
      <w:r>
        <w:t xml:space="preserve"> Essential Services Commission Act 2001 (Vic), s 3, see definition of ‘regulated industry’, read with </w:t>
      </w:r>
      <w:r w:rsidRPr="0010622A">
        <w:t>Water Industry Act 1994, s4A</w:t>
      </w:r>
      <w:r>
        <w:t xml:space="preserve"> – see </w:t>
      </w:r>
      <w:r w:rsidRPr="0010622A">
        <w:t>definition of ‘regulated water industry’. This constitutes Melbourne Water Corporation, metropolitan water corporations, Regional Urban Water Authorities and Rural Water Authorities.</w:t>
      </w:r>
    </w:p>
    <w:p w14:paraId="23B75431" w14:textId="77777777" w:rsidR="004B374F" w:rsidRDefault="004B374F" w:rsidP="004B374F">
      <w:pPr>
        <w:pStyle w:val="FootnoteText"/>
      </w:pPr>
      <w:r>
        <w:t>Water Industry Act 1994 (Vic), s4B.</w:t>
      </w:r>
      <w:r w:rsidRPr="003E4003">
        <w:t xml:space="preserve"> </w:t>
      </w:r>
      <w:r>
        <w:t>See definition of ‘regulated entity’. This constitutes Melbourne Water Corporation, metropolitan water corporations, Regional Urban Water Authorities and Rural Water Authorities.</w:t>
      </w:r>
    </w:p>
  </w:footnote>
  <w:footnote w:id="17">
    <w:p w14:paraId="4B25B2DE" w14:textId="77777777" w:rsidR="004B374F" w:rsidRDefault="004B374F" w:rsidP="004B374F">
      <w:pPr>
        <w:pStyle w:val="FootnoteText"/>
      </w:pPr>
      <w:r>
        <w:rPr>
          <w:rStyle w:val="FootnoteReference"/>
        </w:rPr>
        <w:footnoteRef/>
      </w:r>
      <w:r>
        <w:t xml:space="preserve"> Essential Services Commission Act 2001 (Vic), s 31A, see definition of ‘prescribed goods and services’, read with the Water Industry Regulatory Order 2014 (WIRO), cl 7(b), see definition of ‘prescribed </w:t>
      </w:r>
      <w:r>
        <w:t xml:space="preserve">services’. </w:t>
      </w:r>
    </w:p>
  </w:footnote>
  <w:footnote w:id="18">
    <w:p w14:paraId="004BCB0A" w14:textId="77777777" w:rsidR="004B374F" w:rsidRDefault="004B374F" w:rsidP="004B374F">
      <w:pPr>
        <w:pStyle w:val="FootnoteText"/>
      </w:pPr>
      <w:r>
        <w:rPr>
          <w:rStyle w:val="FootnoteReference"/>
        </w:rPr>
        <w:footnoteRef/>
      </w:r>
      <w:r>
        <w:t xml:space="preserve"> WIRO, cl 10.</w:t>
      </w:r>
    </w:p>
  </w:footnote>
  <w:footnote w:id="19">
    <w:p w14:paraId="76B8F0AF" w14:textId="77777777" w:rsidR="004B374F" w:rsidRDefault="004B374F" w:rsidP="004B374F">
      <w:pPr>
        <w:pStyle w:val="FootnoteText"/>
      </w:pPr>
      <w:r>
        <w:rPr>
          <w:rStyle w:val="FootnoteReference"/>
        </w:rPr>
        <w:footnoteRef/>
      </w:r>
      <w:r>
        <w:t xml:space="preserve"> Essential Services Commission Act 2001, s 35(7).</w:t>
      </w:r>
    </w:p>
  </w:footnote>
  <w:footnote w:id="20">
    <w:p w14:paraId="120B31B4" w14:textId="77777777" w:rsidR="00BA73DE" w:rsidRDefault="00BA73DE" w:rsidP="00BA73DE">
      <w:pPr>
        <w:pStyle w:val="FootnoteText"/>
      </w:pPr>
      <w:r>
        <w:rPr>
          <w:rStyle w:val="FootnoteReference"/>
        </w:rPr>
        <w:footnoteRef/>
      </w:r>
      <w:r>
        <w:t xml:space="preserve"> Water Industry Act 1994 (Vic), s4A – see definition of ‘regulated entity’.</w:t>
      </w:r>
    </w:p>
  </w:footnote>
  <w:footnote w:id="21">
    <w:p w14:paraId="527E89C0" w14:textId="77777777" w:rsidR="00BA73DE" w:rsidRDefault="00BA73DE" w:rsidP="00BA73DE">
      <w:pPr>
        <w:pStyle w:val="FootnoteText"/>
      </w:pPr>
      <w:r>
        <w:rPr>
          <w:rStyle w:val="FootnoteReference"/>
        </w:rPr>
        <w:footnoteRef/>
      </w:r>
      <w:r>
        <w:t xml:space="preserve"> Water Industry Act 1994 (Vic), s4D.</w:t>
      </w:r>
    </w:p>
  </w:footnote>
  <w:footnote w:id="22">
    <w:p w14:paraId="6EAF07DE" w14:textId="77777777" w:rsidR="00515765" w:rsidRDefault="00515765" w:rsidP="00515765">
      <w:pPr>
        <w:pStyle w:val="FootnoteText"/>
      </w:pPr>
      <w:r>
        <w:rPr>
          <w:rStyle w:val="FootnoteReference"/>
        </w:rPr>
        <w:footnoteRef/>
      </w:r>
      <w:r>
        <w:t xml:space="preserve"> WIRO, cl 7(b). </w:t>
      </w:r>
    </w:p>
  </w:footnote>
  <w:footnote w:id="23">
    <w:p w14:paraId="02D2CFB8" w14:textId="77777777" w:rsidR="00C267C4" w:rsidRDefault="00C267C4" w:rsidP="00C267C4">
      <w:pPr>
        <w:pStyle w:val="FootnoteText"/>
      </w:pPr>
      <w:r>
        <w:rPr>
          <w:rStyle w:val="FootnoteReference"/>
        </w:rPr>
        <w:footnoteRef/>
      </w:r>
      <w:r>
        <w:t xml:space="preserve"> WIRO, cl 8.</w:t>
      </w:r>
    </w:p>
  </w:footnote>
  <w:footnote w:id="24">
    <w:p w14:paraId="33257027" w14:textId="35475DFC" w:rsidR="00B625F6" w:rsidRDefault="00B625F6" w:rsidP="00F576AA">
      <w:pPr>
        <w:pStyle w:val="FootnoteText"/>
        <w:ind w:left="284" w:hanging="284"/>
      </w:pPr>
      <w:r>
        <w:rPr>
          <w:rStyle w:val="FootnoteReference"/>
        </w:rPr>
        <w:footnoteRef/>
      </w:r>
      <w:r>
        <w:t xml:space="preserve"> </w:t>
      </w:r>
      <w:r w:rsidR="00F576AA">
        <w:tab/>
      </w:r>
      <w:r>
        <w:t>WIRO, cl 14(a)(</w:t>
      </w:r>
      <w:r>
        <w:t>i).</w:t>
      </w:r>
    </w:p>
  </w:footnote>
  <w:footnote w:id="25">
    <w:p w14:paraId="3E4C4EC1" w14:textId="5BF43887" w:rsidR="00B625F6" w:rsidRDefault="00B625F6" w:rsidP="00F576AA">
      <w:pPr>
        <w:pStyle w:val="FootnoteText"/>
        <w:ind w:left="284" w:hanging="284"/>
      </w:pPr>
      <w:r>
        <w:rPr>
          <w:rStyle w:val="FootnoteReference"/>
        </w:rPr>
        <w:footnoteRef/>
      </w:r>
      <w:r>
        <w:t xml:space="preserve"> </w:t>
      </w:r>
      <w:r w:rsidR="00F576AA">
        <w:tab/>
      </w:r>
      <w:r>
        <w:t>WIRO, cl 14(a)(ii).</w:t>
      </w:r>
    </w:p>
  </w:footnote>
  <w:footnote w:id="26">
    <w:p w14:paraId="782A3381" w14:textId="77777777" w:rsidR="0054120A" w:rsidRDefault="0054120A" w:rsidP="0054120A">
      <w:pPr>
        <w:pStyle w:val="FootnoteText"/>
        <w:ind w:left="284" w:hanging="284"/>
      </w:pPr>
      <w:r>
        <w:rPr>
          <w:rStyle w:val="FootnoteReference"/>
        </w:rPr>
        <w:footnoteRef/>
      </w:r>
      <w:r>
        <w:t xml:space="preserve"> </w:t>
      </w:r>
      <w:r>
        <w:tab/>
        <w:t>Water Industry Regulatory Order 2014, cl 13.</w:t>
      </w:r>
    </w:p>
  </w:footnote>
  <w:footnote w:id="27">
    <w:p w14:paraId="020D474C" w14:textId="77777777" w:rsidR="00BF78BD" w:rsidRDefault="00BF78BD" w:rsidP="00BF78BD">
      <w:pPr>
        <w:pStyle w:val="FootnoteText"/>
        <w:ind w:left="284" w:hanging="284"/>
      </w:pPr>
      <w:r>
        <w:rPr>
          <w:rStyle w:val="FootnoteReference"/>
        </w:rPr>
        <w:footnoteRef/>
      </w:r>
      <w:r>
        <w:t xml:space="preserve"> </w:t>
      </w:r>
      <w:r>
        <w:tab/>
      </w:r>
      <w:r w:rsidRPr="00F3032D">
        <w:t>Essential Services Commission 2021, 2023 water price review: Guidance paper, 26 October</w:t>
      </w:r>
      <w:r>
        <w:t>, p.58.</w:t>
      </w:r>
    </w:p>
  </w:footnote>
  <w:footnote w:id="28">
    <w:p w14:paraId="2915E360" w14:textId="052C0241" w:rsidR="001F0DF4" w:rsidRDefault="001F0DF4" w:rsidP="00F576AA">
      <w:pPr>
        <w:pStyle w:val="FootnoteText"/>
        <w:ind w:left="284" w:hanging="284"/>
      </w:pPr>
      <w:r>
        <w:rPr>
          <w:rStyle w:val="FootnoteReference"/>
        </w:rPr>
        <w:footnoteRef/>
      </w:r>
      <w:r w:rsidR="00536E58">
        <w:t xml:space="preserve"> </w:t>
      </w:r>
      <w:r w:rsidR="00536E58">
        <w:tab/>
        <w:t xml:space="preserve">Essential Services Commission 2013, </w:t>
      </w:r>
      <w:r w:rsidR="00536E58">
        <w:rPr>
          <w:i/>
          <w:iCs/>
        </w:rPr>
        <w:t xml:space="preserve">New customer contributions: Explanatory Note, </w:t>
      </w:r>
      <w:r w:rsidR="00536E58">
        <w:t xml:space="preserve">December, p. </w:t>
      </w:r>
      <w:r w:rsidR="000220F4">
        <w:t>2</w:t>
      </w:r>
      <w:r w:rsidR="00536E58">
        <w:t>, cl 1.2.</w:t>
      </w:r>
    </w:p>
  </w:footnote>
  <w:footnote w:id="29">
    <w:p w14:paraId="1EC578C0" w14:textId="1F5503FB" w:rsidR="000D0875" w:rsidRDefault="000D0875">
      <w:pPr>
        <w:pStyle w:val="FootnoteText"/>
      </w:pPr>
      <w:r>
        <w:rPr>
          <w:rStyle w:val="FootnoteReference"/>
        </w:rPr>
        <w:footnoteRef/>
      </w:r>
      <w:r>
        <w:t xml:space="preserve"> </w:t>
      </w:r>
      <w:r w:rsidR="00D238B7">
        <w:t xml:space="preserve"> </w:t>
      </w:r>
      <w:r w:rsidR="0013377F" w:rsidRPr="0013377F">
        <w:t xml:space="preserve">Statutory cost categories </w:t>
      </w:r>
      <w:r w:rsidR="0013377F" w:rsidRPr="0013377F">
        <w:t>means costs for works imposed under Division 6 of Part 13 of the Water Act 1989</w:t>
      </w:r>
      <w:r w:rsidR="00D238B7">
        <w:t>.</w:t>
      </w:r>
      <w:r w:rsidR="0013377F" w:rsidRPr="0013377F">
        <w:t xml:space="preserve">  </w:t>
      </w:r>
    </w:p>
  </w:footnote>
  <w:footnote w:id="30">
    <w:p w14:paraId="28469010" w14:textId="77777777" w:rsidR="00B513E7" w:rsidRDefault="00B513E7" w:rsidP="00F576AA">
      <w:pPr>
        <w:pStyle w:val="FootnoteText"/>
        <w:ind w:left="284" w:hanging="284"/>
      </w:pPr>
      <w:r>
        <w:rPr>
          <w:rStyle w:val="FootnoteReference"/>
        </w:rPr>
        <w:footnoteRef/>
      </w:r>
      <w:r>
        <w:t xml:space="preserve"> </w:t>
      </w:r>
      <w:r w:rsidR="00F576AA">
        <w:tab/>
      </w:r>
      <w:r>
        <w:t xml:space="preserve">Essential Services Commission 2013, </w:t>
      </w:r>
      <w:r>
        <w:rPr>
          <w:i/>
          <w:iCs/>
        </w:rPr>
        <w:t xml:space="preserve">New </w:t>
      </w:r>
      <w:r w:rsidR="000B579D">
        <w:rPr>
          <w:i/>
          <w:iCs/>
        </w:rPr>
        <w:t>customer contributions</w:t>
      </w:r>
      <w:r>
        <w:rPr>
          <w:i/>
          <w:iCs/>
        </w:rPr>
        <w:t xml:space="preserve">: Explanatory Note, </w:t>
      </w:r>
      <w:r>
        <w:t>December, Chapter 3, pages 9 to 12.</w:t>
      </w:r>
    </w:p>
  </w:footnote>
  <w:footnote w:id="31">
    <w:p w14:paraId="4D8053DA" w14:textId="77777777" w:rsidR="002D0C99" w:rsidRDefault="002D0C99" w:rsidP="00F576AA">
      <w:pPr>
        <w:pStyle w:val="FootnoteText"/>
        <w:ind w:left="284" w:hanging="284"/>
      </w:pPr>
      <w:r>
        <w:rPr>
          <w:rStyle w:val="FootnoteReference"/>
        </w:rPr>
        <w:footnoteRef/>
      </w:r>
      <w:r>
        <w:t xml:space="preserve"> </w:t>
      </w:r>
      <w:r w:rsidR="00F576AA">
        <w:tab/>
      </w:r>
      <w:r>
        <w:t>Division 6 of Part 13 of the Water Act 1989, section 268(4).</w:t>
      </w:r>
    </w:p>
  </w:footnote>
  <w:footnote w:id="32">
    <w:p w14:paraId="0C7CA24E" w14:textId="77777777" w:rsidR="00E22235" w:rsidRDefault="00E22235" w:rsidP="00E22235">
      <w:pPr>
        <w:pStyle w:val="FootnoteText"/>
        <w:ind w:left="284" w:hanging="284"/>
      </w:pPr>
      <w:r>
        <w:rPr>
          <w:rStyle w:val="FootnoteReference"/>
        </w:rPr>
        <w:footnoteRef/>
      </w:r>
      <w:r>
        <w:t xml:space="preserve"> </w:t>
      </w:r>
      <w:r>
        <w:tab/>
        <w:t>Water Act 1989 (Vic), s 268(3), s 269(2) and s 270(2).</w:t>
      </w:r>
    </w:p>
  </w:footnote>
  <w:footnote w:id="33">
    <w:p w14:paraId="246B4515" w14:textId="77777777" w:rsidR="00E22235" w:rsidRDefault="00E22235" w:rsidP="00E22235">
      <w:pPr>
        <w:pStyle w:val="FootnoteText"/>
        <w:ind w:left="284" w:hanging="284"/>
      </w:pPr>
      <w:r>
        <w:rPr>
          <w:rStyle w:val="FootnoteReference"/>
        </w:rPr>
        <w:footnoteRef/>
      </w:r>
      <w:r>
        <w:t xml:space="preserve"> </w:t>
      </w:r>
      <w:r>
        <w:tab/>
        <w:t>Water Act 1989 (Vic), s 268(4) and s 269(3).</w:t>
      </w:r>
    </w:p>
  </w:footnote>
  <w:footnote w:id="34">
    <w:p w14:paraId="4245F9B1" w14:textId="77777777" w:rsidR="00E22235" w:rsidRDefault="00E22235" w:rsidP="00E22235">
      <w:pPr>
        <w:pStyle w:val="FootnoteText"/>
        <w:ind w:left="284" w:hanging="284"/>
      </w:pPr>
      <w:r>
        <w:rPr>
          <w:rStyle w:val="FootnoteReference"/>
        </w:rPr>
        <w:footnoteRef/>
      </w:r>
      <w:r>
        <w:t xml:space="preserve"> </w:t>
      </w:r>
      <w:r>
        <w:tab/>
        <w:t xml:space="preserve">Water Act 1989 (Vic), s 271. </w:t>
      </w:r>
    </w:p>
  </w:footnote>
  <w:footnote w:id="35">
    <w:p w14:paraId="1188C495" w14:textId="77777777" w:rsidR="00E22235" w:rsidRDefault="00E22235" w:rsidP="00E22235">
      <w:pPr>
        <w:pStyle w:val="FootnoteText"/>
        <w:ind w:left="284" w:hanging="284"/>
      </w:pPr>
      <w:r>
        <w:rPr>
          <w:rStyle w:val="FootnoteReference"/>
        </w:rPr>
        <w:footnoteRef/>
      </w:r>
      <w:r>
        <w:t xml:space="preserve"> </w:t>
      </w:r>
      <w:r>
        <w:tab/>
        <w:t xml:space="preserve">Water Act 1989 (Vic), s 271. </w:t>
      </w:r>
    </w:p>
  </w:footnote>
  <w:footnote w:id="36">
    <w:p w14:paraId="46EA5455" w14:textId="77777777" w:rsidR="00E22235" w:rsidRDefault="00E22235" w:rsidP="00E22235">
      <w:pPr>
        <w:pStyle w:val="FootnoteText"/>
        <w:ind w:left="284" w:hanging="284"/>
      </w:pPr>
      <w:r>
        <w:rPr>
          <w:rStyle w:val="FootnoteReference"/>
        </w:rPr>
        <w:footnoteRef/>
      </w:r>
      <w:r>
        <w:t xml:space="preserve"> </w:t>
      </w:r>
      <w:r>
        <w:tab/>
        <w:t>Water Act 1989 (Vic), s 145.</w:t>
      </w:r>
    </w:p>
  </w:footnote>
  <w:footnote w:id="37">
    <w:p w14:paraId="26B2104E" w14:textId="77777777" w:rsidR="00E22235" w:rsidRDefault="00E22235" w:rsidP="00E22235">
      <w:pPr>
        <w:pStyle w:val="FootnoteText"/>
        <w:ind w:left="284" w:hanging="284"/>
      </w:pPr>
      <w:r>
        <w:rPr>
          <w:rStyle w:val="FootnoteReference"/>
        </w:rPr>
        <w:footnoteRef/>
      </w:r>
      <w:r>
        <w:t xml:space="preserve"> </w:t>
      </w:r>
      <w:r>
        <w:tab/>
        <w:t>Water Act 1989 (Vic), s 145.</w:t>
      </w:r>
    </w:p>
  </w:footnote>
  <w:footnote w:id="38">
    <w:p w14:paraId="1828487F" w14:textId="77777777" w:rsidR="00E22235" w:rsidRDefault="00E22235" w:rsidP="00E22235">
      <w:pPr>
        <w:pStyle w:val="FootnoteText"/>
        <w:ind w:left="284" w:hanging="284"/>
      </w:pPr>
      <w:r>
        <w:rPr>
          <w:rStyle w:val="FootnoteReference"/>
        </w:rPr>
        <w:footnoteRef/>
      </w:r>
      <w:r>
        <w:t xml:space="preserve"> </w:t>
      </w:r>
      <w:r>
        <w:tab/>
        <w:t>Water Act 1989 (Vic), s 145A.</w:t>
      </w:r>
    </w:p>
  </w:footnote>
  <w:footnote w:id="39">
    <w:p w14:paraId="217D01AE" w14:textId="688FE3DD" w:rsidR="00B71048" w:rsidRDefault="00B71048">
      <w:pPr>
        <w:pStyle w:val="FootnoteText"/>
      </w:pPr>
      <w:r>
        <w:rPr>
          <w:rStyle w:val="FootnoteReference"/>
        </w:rPr>
        <w:footnoteRef/>
      </w:r>
      <w:r>
        <w:t xml:space="preserve">  </w:t>
      </w:r>
      <w:r w:rsidRPr="004B493B">
        <w:t>Water Act 1989, section 2</w:t>
      </w:r>
      <w:r>
        <w:t>6</w:t>
      </w:r>
      <w:r w:rsidR="00AF00DA">
        <w:t>9</w:t>
      </w:r>
      <w:r w:rsidR="004272AB">
        <w:t>.</w:t>
      </w:r>
    </w:p>
  </w:footnote>
  <w:footnote w:id="40">
    <w:p w14:paraId="47E06BE4" w14:textId="585611F0" w:rsidR="00A51F02" w:rsidRDefault="00A51F02" w:rsidP="00835426">
      <w:pPr>
        <w:pStyle w:val="FootnoteText"/>
        <w:ind w:left="284" w:hanging="284"/>
      </w:pPr>
      <w:r>
        <w:rPr>
          <w:rStyle w:val="FootnoteReference"/>
        </w:rPr>
        <w:footnoteRef/>
      </w:r>
      <w:r>
        <w:t xml:space="preserve"> </w:t>
      </w:r>
      <w:r w:rsidR="00835426">
        <w:tab/>
      </w:r>
      <w:r>
        <w:t xml:space="preserve">Essential Services Commission, </w:t>
      </w:r>
      <w:r w:rsidRPr="00EE1453">
        <w:rPr>
          <w:i/>
          <w:iCs/>
        </w:rPr>
        <w:t xml:space="preserve">2023 </w:t>
      </w:r>
      <w:r w:rsidR="00550448">
        <w:rPr>
          <w:i/>
          <w:iCs/>
        </w:rPr>
        <w:t>W</w:t>
      </w:r>
      <w:r w:rsidRPr="00EE1453">
        <w:rPr>
          <w:i/>
          <w:iCs/>
        </w:rPr>
        <w:t xml:space="preserve">ater </w:t>
      </w:r>
      <w:r w:rsidR="00550448">
        <w:rPr>
          <w:i/>
          <w:iCs/>
        </w:rPr>
        <w:t>P</w:t>
      </w:r>
      <w:r w:rsidRPr="00EE1453">
        <w:rPr>
          <w:i/>
          <w:iCs/>
        </w:rPr>
        <w:t xml:space="preserve">rice </w:t>
      </w:r>
      <w:r w:rsidR="00550448">
        <w:rPr>
          <w:i/>
          <w:iCs/>
        </w:rPr>
        <w:t>R</w:t>
      </w:r>
      <w:r w:rsidRPr="00EE1453">
        <w:rPr>
          <w:i/>
          <w:iCs/>
        </w:rPr>
        <w:t>eview: Guidance paper</w:t>
      </w:r>
      <w:r>
        <w:t>, October 2021, p. 59.</w:t>
      </w:r>
    </w:p>
  </w:footnote>
  <w:footnote w:id="41">
    <w:p w14:paraId="581D6AB8" w14:textId="0492961D" w:rsidR="006672B1" w:rsidRDefault="006672B1" w:rsidP="00835426">
      <w:pPr>
        <w:pStyle w:val="FootnoteText"/>
        <w:ind w:left="284" w:hanging="284"/>
      </w:pPr>
      <w:r>
        <w:rPr>
          <w:rStyle w:val="FootnoteReference"/>
        </w:rPr>
        <w:footnoteRef/>
      </w:r>
      <w:r>
        <w:t xml:space="preserve"> </w:t>
      </w:r>
      <w:r w:rsidR="00835426">
        <w:tab/>
      </w:r>
      <w:r w:rsidR="00A46E2A">
        <w:t xml:space="preserve">See for example, </w:t>
      </w:r>
      <w:r>
        <w:t xml:space="preserve">FTI Consulting, </w:t>
      </w:r>
      <w:r w:rsidRPr="008A0971">
        <w:t xml:space="preserve">Review of new customer contribution-related capital expenditure for </w:t>
      </w:r>
      <w:r w:rsidRPr="008A0971">
        <w:t>Coliban Water</w:t>
      </w:r>
      <w:r>
        <w:t xml:space="preserve"> </w:t>
      </w:r>
      <w:r w:rsidRPr="008A0971">
        <w:t>2023 Water Price Review</w:t>
      </w:r>
      <w:r>
        <w:t>, May 2023, p.7.</w:t>
      </w:r>
    </w:p>
  </w:footnote>
  <w:footnote w:id="42">
    <w:p w14:paraId="61E7FDD4" w14:textId="5B96FF4D" w:rsidR="00551A3F" w:rsidRDefault="00551A3F" w:rsidP="00835426">
      <w:pPr>
        <w:pStyle w:val="FootnoteText"/>
        <w:ind w:left="284" w:hanging="284"/>
      </w:pPr>
      <w:r>
        <w:rPr>
          <w:rStyle w:val="FootnoteReference"/>
        </w:rPr>
        <w:footnoteRef/>
      </w:r>
      <w:r>
        <w:t xml:space="preserve"> </w:t>
      </w:r>
      <w:r w:rsidR="00835426">
        <w:tab/>
      </w:r>
      <w:r>
        <w:t>Essential Service</w:t>
      </w:r>
      <w:r w:rsidR="00B95079">
        <w:t>s</w:t>
      </w:r>
      <w:r>
        <w:t xml:space="preserve"> Commission, Guidance paper – New customer contributions, </w:t>
      </w:r>
      <w:r w:rsidRPr="0076003C">
        <w:rPr>
          <w:rStyle w:val="cf01"/>
        </w:rPr>
        <w:t>August 20</w:t>
      </w:r>
      <w:r>
        <w:rPr>
          <w:rStyle w:val="cf01"/>
        </w:rPr>
        <w:t>1</w:t>
      </w:r>
      <w:r w:rsidRPr="0076003C">
        <w:rPr>
          <w:rStyle w:val="cf01"/>
        </w:rPr>
        <w:t xml:space="preserve">2. </w:t>
      </w:r>
    </w:p>
  </w:footnote>
  <w:footnote w:id="43">
    <w:p w14:paraId="2F3E9C9C" w14:textId="51035B54" w:rsidR="00540B9D" w:rsidRDefault="00540B9D" w:rsidP="00835426">
      <w:pPr>
        <w:pStyle w:val="FootnoteText"/>
        <w:ind w:left="284" w:hanging="284"/>
      </w:pPr>
      <w:r>
        <w:rPr>
          <w:rStyle w:val="FootnoteReference"/>
        </w:rPr>
        <w:footnoteRef/>
      </w:r>
      <w:r>
        <w:t xml:space="preserve"> </w:t>
      </w:r>
      <w:r w:rsidR="00835426">
        <w:tab/>
      </w:r>
      <w:r w:rsidR="00672467">
        <w:t xml:space="preserve">Essential Services Commission, </w:t>
      </w:r>
      <w:r w:rsidR="005B3205">
        <w:t xml:space="preserve">2023 water price review: </w:t>
      </w:r>
      <w:r w:rsidR="005B3205">
        <w:rPr>
          <w:i/>
          <w:iCs/>
        </w:rPr>
        <w:t>g</w:t>
      </w:r>
      <w:r w:rsidR="00672467" w:rsidRPr="00816CD2">
        <w:rPr>
          <w:i/>
          <w:iCs/>
        </w:rPr>
        <w:t>uidance paper</w:t>
      </w:r>
      <w:r w:rsidR="00672467">
        <w:t>, August 20</w:t>
      </w:r>
      <w:r w:rsidR="005B3205">
        <w:t>22</w:t>
      </w:r>
      <w:r w:rsidR="00672467">
        <w:t xml:space="preserve">, p. </w:t>
      </w:r>
      <w:r w:rsidR="005B3205">
        <w:t>59</w:t>
      </w:r>
      <w:r w:rsidR="00672467">
        <w:t>.</w:t>
      </w:r>
    </w:p>
  </w:footnote>
  <w:footnote w:id="44">
    <w:p w14:paraId="167B56F6" w14:textId="14CAE6FD" w:rsidR="001B4539" w:rsidRDefault="001B4539" w:rsidP="00835426">
      <w:pPr>
        <w:pStyle w:val="FootnoteText"/>
        <w:ind w:left="284" w:hanging="284"/>
      </w:pPr>
      <w:r>
        <w:rPr>
          <w:rStyle w:val="FootnoteReference"/>
        </w:rPr>
        <w:footnoteRef/>
      </w:r>
      <w:r>
        <w:t xml:space="preserve"> </w:t>
      </w:r>
      <w:r w:rsidR="00835426">
        <w:tab/>
      </w:r>
      <w:r>
        <w:t>Appendix B sets out the use of the net incremental cost method in NSW water, Tasmanian water, national electricity distribution, and national gas distribution.</w:t>
      </w:r>
    </w:p>
  </w:footnote>
  <w:footnote w:id="45">
    <w:p w14:paraId="2DAC0B6E" w14:textId="4CF0E2B5" w:rsidR="002E2BC4" w:rsidRDefault="002E2BC4">
      <w:pPr>
        <w:pStyle w:val="FootnoteText"/>
      </w:pPr>
      <w:r>
        <w:rPr>
          <w:rStyle w:val="FootnoteReference"/>
        </w:rPr>
        <w:footnoteRef/>
      </w:r>
      <w:r>
        <w:t xml:space="preserve"> The average incremental cost approach calculates the new customer contribution charge by dividing the capital and operating cost of a growth area by the number of connections in that area. The net incremental cost approach applies the incremental revenue less incremental cost to estimate the new customer contribution charge.</w:t>
      </w:r>
    </w:p>
  </w:footnote>
  <w:footnote w:id="46">
    <w:p w14:paraId="23BE2461" w14:textId="73D43EEA" w:rsidR="00366F16" w:rsidRDefault="00366F16" w:rsidP="00835426">
      <w:pPr>
        <w:pStyle w:val="FootnoteText"/>
        <w:ind w:left="284" w:hanging="284"/>
      </w:pPr>
      <w:r>
        <w:rPr>
          <w:rStyle w:val="FootnoteReference"/>
        </w:rPr>
        <w:footnoteRef/>
      </w:r>
      <w:r>
        <w:t xml:space="preserve"> </w:t>
      </w:r>
      <w:r w:rsidR="00835426">
        <w:tab/>
      </w:r>
      <w:r w:rsidRPr="00411D30">
        <w:t xml:space="preserve">Essential Services Commission, </w:t>
      </w:r>
      <w:r w:rsidRPr="0016094C">
        <w:rPr>
          <w:i/>
          <w:iCs/>
        </w:rPr>
        <w:t xml:space="preserve">New </w:t>
      </w:r>
      <w:r w:rsidR="000B579D">
        <w:rPr>
          <w:i/>
          <w:iCs/>
        </w:rPr>
        <w:t>customer contributions</w:t>
      </w:r>
      <w:r w:rsidRPr="0016094C">
        <w:rPr>
          <w:i/>
          <w:iCs/>
        </w:rPr>
        <w:t>: Explanatory Note</w:t>
      </w:r>
      <w:r w:rsidRPr="00411D30">
        <w:t xml:space="preserve">, December 2013, </w:t>
      </w:r>
      <w:r>
        <w:t xml:space="preserve">p. 10; Essential Services Commission, </w:t>
      </w:r>
      <w:r w:rsidRPr="0017043E">
        <w:rPr>
          <w:i/>
          <w:iCs/>
        </w:rPr>
        <w:t>Price review 2013: Greater Metropolitan Water Businesses – Final decision</w:t>
      </w:r>
      <w:r>
        <w:t>, June 2013, p.201.</w:t>
      </w:r>
    </w:p>
  </w:footnote>
  <w:footnote w:id="47">
    <w:p w14:paraId="50866971" w14:textId="6C573BCB" w:rsidR="00366F16" w:rsidRDefault="00366F16" w:rsidP="00835426">
      <w:pPr>
        <w:pStyle w:val="FootnoteText"/>
        <w:ind w:left="284" w:hanging="284"/>
      </w:pPr>
      <w:r>
        <w:rPr>
          <w:rStyle w:val="FootnoteReference"/>
        </w:rPr>
        <w:footnoteRef/>
      </w:r>
      <w:r>
        <w:t xml:space="preserve"> </w:t>
      </w:r>
      <w:r w:rsidR="00835426">
        <w:tab/>
      </w:r>
      <w:r>
        <w:t xml:space="preserve">Essential Services Commission, </w:t>
      </w:r>
      <w:r w:rsidRPr="0017043E">
        <w:rPr>
          <w:i/>
          <w:iCs/>
        </w:rPr>
        <w:t>Price review 2013: Greater Metropolitan Water Businesses – Final decision</w:t>
      </w:r>
      <w:r>
        <w:t>, June 2013, p.202.</w:t>
      </w:r>
    </w:p>
  </w:footnote>
  <w:footnote w:id="48">
    <w:p w14:paraId="758DC2E1" w14:textId="010EE04D" w:rsidR="00697B91" w:rsidRDefault="00697B91" w:rsidP="00456254">
      <w:pPr>
        <w:pStyle w:val="FootnoteText"/>
        <w:ind w:left="284" w:hanging="284"/>
      </w:pPr>
      <w:r>
        <w:rPr>
          <w:rStyle w:val="FootnoteReference"/>
        </w:rPr>
        <w:footnoteRef/>
      </w:r>
      <w:r>
        <w:t xml:space="preserve"> </w:t>
      </w:r>
      <w:bookmarkStart w:id="74" w:name="_Hlk160188544"/>
      <w:r w:rsidR="00456254">
        <w:tab/>
      </w:r>
      <w:r w:rsidR="001E423A" w:rsidRPr="00411D30">
        <w:t xml:space="preserve">Essential Services Commission, </w:t>
      </w:r>
      <w:r w:rsidR="001E423A" w:rsidRPr="0016094C">
        <w:rPr>
          <w:i/>
          <w:iCs/>
        </w:rPr>
        <w:t xml:space="preserve">New </w:t>
      </w:r>
      <w:r w:rsidR="000B579D">
        <w:rPr>
          <w:i/>
          <w:iCs/>
        </w:rPr>
        <w:t>customer contributions</w:t>
      </w:r>
      <w:r w:rsidR="001E423A" w:rsidRPr="0016094C">
        <w:rPr>
          <w:i/>
          <w:iCs/>
        </w:rPr>
        <w:t>: Explanatory Note</w:t>
      </w:r>
      <w:r w:rsidR="001E423A" w:rsidRPr="00411D30">
        <w:t xml:space="preserve">, December 2013, </w:t>
      </w:r>
      <w:r w:rsidR="001E423A">
        <w:t xml:space="preserve">pp. </w:t>
      </w:r>
      <w:r w:rsidR="00ED5A98">
        <w:t>3, 11.</w:t>
      </w:r>
      <w:bookmarkEnd w:id="74"/>
    </w:p>
  </w:footnote>
  <w:footnote w:id="49">
    <w:p w14:paraId="5A01E180" w14:textId="7E2D1DBF" w:rsidR="0012518A" w:rsidRDefault="0012518A" w:rsidP="00456254">
      <w:pPr>
        <w:pStyle w:val="FootnoteText"/>
        <w:ind w:left="284" w:hanging="284"/>
      </w:pPr>
      <w:r>
        <w:rPr>
          <w:rStyle w:val="FootnoteReference"/>
        </w:rPr>
        <w:footnoteRef/>
      </w:r>
      <w:r>
        <w:t xml:space="preserve"> </w:t>
      </w:r>
      <w:r w:rsidR="00456254">
        <w:tab/>
      </w:r>
      <w:r w:rsidR="00ED5A98" w:rsidRPr="00411D30">
        <w:t xml:space="preserve">Essential Services Commission, </w:t>
      </w:r>
      <w:r w:rsidR="00ED5A98" w:rsidRPr="0016094C">
        <w:rPr>
          <w:i/>
          <w:iCs/>
        </w:rPr>
        <w:t xml:space="preserve">New </w:t>
      </w:r>
      <w:r w:rsidR="000B579D">
        <w:rPr>
          <w:i/>
          <w:iCs/>
        </w:rPr>
        <w:t>customer contributions</w:t>
      </w:r>
      <w:r w:rsidR="00ED5A98" w:rsidRPr="0016094C">
        <w:rPr>
          <w:i/>
          <w:iCs/>
        </w:rPr>
        <w:t>: Explanatory Note</w:t>
      </w:r>
      <w:r w:rsidR="00ED5A98" w:rsidRPr="00411D30">
        <w:t xml:space="preserve">, December 2013, </w:t>
      </w:r>
      <w:r w:rsidR="00ED5A98">
        <w:t>p</w:t>
      </w:r>
      <w:r w:rsidR="00D40EC5">
        <w:t xml:space="preserve">. </w:t>
      </w:r>
      <w:r w:rsidR="00ED5A98">
        <w:t>11.</w:t>
      </w:r>
    </w:p>
  </w:footnote>
  <w:footnote w:id="50">
    <w:p w14:paraId="2F033E54" w14:textId="6C86514E" w:rsidR="00F43520" w:rsidRDefault="00F43520" w:rsidP="006013F8">
      <w:pPr>
        <w:pStyle w:val="FootnoteText"/>
        <w:ind w:left="284" w:hanging="284"/>
      </w:pPr>
      <w:r>
        <w:rPr>
          <w:rStyle w:val="FootnoteReference"/>
        </w:rPr>
        <w:footnoteRef/>
      </w:r>
      <w:r w:rsidR="00AB1C0C">
        <w:t xml:space="preserve"> </w:t>
      </w:r>
      <w:r w:rsidR="006013F8">
        <w:tab/>
      </w:r>
      <w:r w:rsidR="00AB1C0C">
        <w:t xml:space="preserve">As required by </w:t>
      </w:r>
      <w:r w:rsidR="00AB1C0C" w:rsidRPr="0027402A">
        <w:t xml:space="preserve">Division 6 of Part 13 of the </w:t>
      </w:r>
      <w:r w:rsidR="00AB1C0C" w:rsidRPr="00D91436">
        <w:rPr>
          <w:i/>
        </w:rPr>
        <w:t>Water Act 1989</w:t>
      </w:r>
      <w:r w:rsidR="00AB1C0C">
        <w:t>.</w:t>
      </w:r>
    </w:p>
  </w:footnote>
  <w:footnote w:id="51">
    <w:p w14:paraId="2A7AE31A" w14:textId="55F4FFED" w:rsidR="00AB1C0C" w:rsidRDefault="00AB1C0C" w:rsidP="006013F8">
      <w:pPr>
        <w:pStyle w:val="FootnoteText"/>
        <w:ind w:left="284" w:hanging="284"/>
      </w:pPr>
      <w:r>
        <w:rPr>
          <w:rStyle w:val="FootnoteReference"/>
        </w:rPr>
        <w:footnoteRef/>
      </w:r>
      <w:r>
        <w:t xml:space="preserve"> </w:t>
      </w:r>
      <w:r w:rsidR="006013F8">
        <w:tab/>
      </w:r>
      <w:r>
        <w:t xml:space="preserve">Note that under our guidance provided to date, </w:t>
      </w:r>
      <w:r w:rsidRPr="008A404C">
        <w:t xml:space="preserve">customer contributions and gifted assets are treated as revenue </w:t>
      </w:r>
      <w:r>
        <w:t>when assessing the notional tax costs of water businesses. The future tax treatment of these is subject to a current review under the national tax equivalence regime applied to state owned entities. Outcomes of that review will be reflected in our future guidance.</w:t>
      </w:r>
    </w:p>
  </w:footnote>
  <w:footnote w:id="52">
    <w:p w14:paraId="1FE90202" w14:textId="20564949" w:rsidR="004019C9" w:rsidRDefault="004019C9" w:rsidP="006013F8">
      <w:pPr>
        <w:pStyle w:val="FootnoteText"/>
        <w:ind w:left="284" w:hanging="284"/>
      </w:pPr>
      <w:r>
        <w:rPr>
          <w:rStyle w:val="FootnoteReference"/>
        </w:rPr>
        <w:footnoteRef/>
      </w:r>
      <w:r>
        <w:t xml:space="preserve"> </w:t>
      </w:r>
      <w:r w:rsidR="006013F8">
        <w:tab/>
      </w:r>
      <w:r>
        <w:t>This gross capital expenditure includes all expenditure from the water business, which may include expenditure recovered through a connection contribution or incurred by the water business to pay a developer to increase the size of its gifted assets above what is required for that development.</w:t>
      </w:r>
    </w:p>
  </w:footnote>
  <w:footnote w:id="53">
    <w:p w14:paraId="48FEDBC5" w14:textId="2256ADB8" w:rsidR="004019C9" w:rsidRDefault="004019C9" w:rsidP="006013F8">
      <w:pPr>
        <w:pStyle w:val="FootnoteText"/>
        <w:ind w:left="284" w:hanging="284"/>
      </w:pPr>
      <w:r>
        <w:rPr>
          <w:rStyle w:val="FootnoteReference"/>
        </w:rPr>
        <w:footnoteRef/>
      </w:r>
      <w:r>
        <w:t xml:space="preserve"> </w:t>
      </w:r>
      <w:r w:rsidR="006013F8">
        <w:tab/>
      </w:r>
      <w:r>
        <w:t>This covers financial contributions only. Gifted assets have zero value for the purposes of RAB administration because they did not involve a cost to the water business.</w:t>
      </w:r>
    </w:p>
  </w:footnote>
  <w:footnote w:id="54">
    <w:p w14:paraId="3C6F9F44" w14:textId="1E1C3D28" w:rsidR="00F43520" w:rsidRDefault="00F43520" w:rsidP="00310D0E">
      <w:pPr>
        <w:pStyle w:val="FootnoteText"/>
        <w:ind w:left="284" w:hanging="284"/>
      </w:pPr>
      <w:r>
        <w:rPr>
          <w:rStyle w:val="FootnoteReference"/>
        </w:rPr>
        <w:footnoteRef/>
      </w:r>
      <w:r w:rsidR="00AB1C0C">
        <w:t xml:space="preserve"> </w:t>
      </w:r>
      <w:r w:rsidR="00310D0E">
        <w:tab/>
      </w:r>
      <w:r w:rsidR="00AB1C0C">
        <w:t xml:space="preserve">Discrimination involving differential pricing may be warranted for the efficient price signal purposes identified above and measured in accordance with the cost recovery threshold. </w:t>
      </w:r>
    </w:p>
  </w:footnote>
  <w:footnote w:id="55">
    <w:p w14:paraId="213DD629" w14:textId="285F39C3" w:rsidR="00AB1C0C" w:rsidRDefault="00AB1C0C" w:rsidP="00310D0E">
      <w:pPr>
        <w:pStyle w:val="FootnoteText"/>
        <w:ind w:left="284" w:hanging="284"/>
      </w:pPr>
      <w:r>
        <w:rPr>
          <w:rStyle w:val="FootnoteReference"/>
        </w:rPr>
        <w:footnoteRef/>
      </w:r>
      <w:r>
        <w:t xml:space="preserve"> </w:t>
      </w:r>
      <w:r w:rsidR="00310D0E">
        <w:tab/>
      </w:r>
      <w:r w:rsidRPr="003F0658">
        <w:t>Essential Services Commission</w:t>
      </w:r>
      <w:r>
        <w:t xml:space="preserve">, </w:t>
      </w:r>
      <w:hyperlink r:id="rId1" w:history="1">
        <w:r>
          <w:rPr>
            <w:rStyle w:val="Hyperlink"/>
          </w:rPr>
          <w:t xml:space="preserve">Guidance paper New </w:t>
        </w:r>
        <w:r w:rsidR="000B579D">
          <w:rPr>
            <w:rStyle w:val="Hyperlink"/>
          </w:rPr>
          <w:t>customer contributions</w:t>
        </w:r>
      </w:hyperlink>
      <w:r>
        <w:t>, August 2012, Box 2, p.12.</w:t>
      </w:r>
    </w:p>
  </w:footnote>
  <w:footnote w:id="56">
    <w:p w14:paraId="6B3D33BE" w14:textId="371222FA" w:rsidR="00864225" w:rsidRDefault="00864225" w:rsidP="006D09AB">
      <w:pPr>
        <w:pStyle w:val="FootnoteText"/>
        <w:ind w:left="284" w:hanging="284"/>
      </w:pPr>
      <w:r>
        <w:rPr>
          <w:rStyle w:val="FootnoteReference"/>
        </w:rPr>
        <w:footnoteRef/>
      </w:r>
      <w:r>
        <w:t xml:space="preserve"> </w:t>
      </w:r>
      <w:r w:rsidR="006D09AB">
        <w:tab/>
      </w:r>
      <w:r w:rsidRPr="003F0658">
        <w:t>Essential Services Commission</w:t>
      </w:r>
      <w:r>
        <w:t xml:space="preserve">, </w:t>
      </w:r>
      <w:hyperlink r:id="rId2" w:history="1">
        <w:r>
          <w:rPr>
            <w:rStyle w:val="Hyperlink"/>
          </w:rPr>
          <w:t xml:space="preserve">Guidance paper New </w:t>
        </w:r>
        <w:r w:rsidR="000B579D">
          <w:rPr>
            <w:rStyle w:val="Hyperlink"/>
          </w:rPr>
          <w:t>customer contributions</w:t>
        </w:r>
      </w:hyperlink>
      <w:r>
        <w:t>, August 2012, Box 2, p.14.</w:t>
      </w:r>
    </w:p>
  </w:footnote>
  <w:footnote w:id="57">
    <w:p w14:paraId="25F6FE6E" w14:textId="70C99C67" w:rsidR="00864225" w:rsidRDefault="00864225" w:rsidP="006D09AB">
      <w:pPr>
        <w:pStyle w:val="FootnoteText"/>
        <w:ind w:left="284" w:hanging="284"/>
      </w:pPr>
      <w:r>
        <w:rPr>
          <w:rStyle w:val="FootnoteReference"/>
        </w:rPr>
        <w:footnoteRef/>
      </w:r>
      <w:r>
        <w:t xml:space="preserve"> </w:t>
      </w:r>
      <w:r w:rsidR="006D09AB">
        <w:tab/>
      </w:r>
      <w:r w:rsidRPr="003F0658">
        <w:t>Essential Services Commission</w:t>
      </w:r>
      <w:r>
        <w:t xml:space="preserve">, </w:t>
      </w:r>
      <w:hyperlink r:id="rId3" w:history="1">
        <w:r>
          <w:rPr>
            <w:rStyle w:val="Hyperlink"/>
          </w:rPr>
          <w:t xml:space="preserve">Guidance paper New </w:t>
        </w:r>
        <w:r w:rsidR="000B579D">
          <w:rPr>
            <w:rStyle w:val="Hyperlink"/>
          </w:rPr>
          <w:t>customer contributions</w:t>
        </w:r>
      </w:hyperlink>
      <w:r>
        <w:t>, August 2012, Box 2, p.18.</w:t>
      </w:r>
    </w:p>
  </w:footnote>
  <w:footnote w:id="58">
    <w:p w14:paraId="1A9CC99E" w14:textId="6CB4F486" w:rsidR="00AB1C0C" w:rsidRDefault="00AB1C0C" w:rsidP="006D09AB">
      <w:pPr>
        <w:pStyle w:val="FootnoteText"/>
        <w:ind w:left="284" w:hanging="284"/>
      </w:pPr>
      <w:r>
        <w:rPr>
          <w:rStyle w:val="FootnoteReference"/>
        </w:rPr>
        <w:footnoteRef/>
      </w:r>
      <w:r>
        <w:t xml:space="preserve"> </w:t>
      </w:r>
      <w:r w:rsidR="006D09AB">
        <w:tab/>
      </w:r>
      <w:r w:rsidRPr="00AC2B73">
        <w:t>Pricing Order</w:t>
      </w:r>
      <w:r>
        <w:t>,</w:t>
      </w:r>
      <w:r w:rsidRPr="00AC2B73">
        <w:t xml:space="preserve"> cl.2.1.1(b)(</w:t>
      </w:r>
      <w:r w:rsidRPr="00AC2B73">
        <w:t>i) and (ii)</w:t>
      </w:r>
    </w:p>
  </w:footnote>
  <w:footnote w:id="59">
    <w:p w14:paraId="0BEF60EF" w14:textId="77BB8884" w:rsidR="00AB1C0C" w:rsidRDefault="00AB1C0C" w:rsidP="006D09AB">
      <w:pPr>
        <w:pStyle w:val="FootnoteText"/>
        <w:ind w:left="284" w:hanging="284"/>
      </w:pPr>
      <w:r>
        <w:rPr>
          <w:rStyle w:val="FootnoteReference"/>
        </w:rPr>
        <w:footnoteRef/>
      </w:r>
      <w:r>
        <w:t xml:space="preserve"> </w:t>
      </w:r>
      <w:r w:rsidR="006D09AB">
        <w:tab/>
      </w:r>
      <w:r>
        <w:t>National Gas Rules, rule 94 (3)(a) and (b)</w:t>
      </w:r>
    </w:p>
  </w:footnote>
  <w:footnote w:id="60">
    <w:p w14:paraId="79665C94" w14:textId="7BF6C2AF" w:rsidR="00AB1C0C" w:rsidRDefault="00AB1C0C" w:rsidP="006D09AB">
      <w:pPr>
        <w:pStyle w:val="FootnoteText"/>
        <w:ind w:left="284" w:hanging="284"/>
      </w:pPr>
      <w:r>
        <w:rPr>
          <w:rStyle w:val="FootnoteReference"/>
        </w:rPr>
        <w:footnoteRef/>
      </w:r>
      <w:r>
        <w:t xml:space="preserve"> </w:t>
      </w:r>
      <w:r w:rsidR="006D09AB">
        <w:tab/>
      </w:r>
      <w:r>
        <w:t>National Electricity Rules, rule 6.18.5.e.</w:t>
      </w:r>
    </w:p>
  </w:footnote>
  <w:footnote w:id="61">
    <w:p w14:paraId="14DDF184" w14:textId="189826DD" w:rsidR="00215243" w:rsidRDefault="00215243" w:rsidP="006D09AB">
      <w:pPr>
        <w:pStyle w:val="FootnoteText"/>
        <w:ind w:left="284" w:hanging="284"/>
      </w:pPr>
      <w:r>
        <w:rPr>
          <w:rStyle w:val="FootnoteReference"/>
        </w:rPr>
        <w:footnoteRef/>
      </w:r>
      <w:r>
        <w:t xml:space="preserve"> </w:t>
      </w:r>
      <w:r w:rsidR="006D09AB">
        <w:tab/>
      </w:r>
      <w:r w:rsidR="00985161" w:rsidRPr="00AB1C0C">
        <w:t xml:space="preserve">We note that this assumption no longer holds for privately owned regulated businesses and the National electricity and gas regulatory regimes have stopped providing a tax allowance for the revenue treatment of connection and augmentation contributions. We are awaiting the outcome of a decision about whether an equivalent approach will be followed for the National Tax Equivalent regime which we rely upon when assessing water </w:t>
      </w:r>
      <w:r w:rsidR="00C87243">
        <w:t>businesse</w:t>
      </w:r>
      <w:r w:rsidR="00985161" w:rsidRPr="00AB1C0C">
        <w:t>s’ required notional tax compensation.</w:t>
      </w:r>
    </w:p>
  </w:footnote>
  <w:footnote w:id="62">
    <w:p w14:paraId="0E4CC122" w14:textId="549C19BB" w:rsidR="00F43520" w:rsidRDefault="00F43520" w:rsidP="00740E17">
      <w:pPr>
        <w:pStyle w:val="FootnoteText"/>
        <w:ind w:left="284" w:hanging="284"/>
      </w:pPr>
      <w:r>
        <w:rPr>
          <w:rStyle w:val="FootnoteReference"/>
        </w:rPr>
        <w:footnoteRef/>
      </w:r>
      <w:r w:rsidR="00AB1C0C">
        <w:t xml:space="preserve"> </w:t>
      </w:r>
      <w:r w:rsidR="00740E17">
        <w:tab/>
      </w:r>
      <w:r w:rsidR="00AB1C0C" w:rsidRPr="004B493B">
        <w:t>Water Act 1989, section 271.</w:t>
      </w:r>
    </w:p>
  </w:footnote>
  <w:footnote w:id="63">
    <w:p w14:paraId="481FD2FC" w14:textId="73649125" w:rsidR="00AB1C0C" w:rsidRDefault="00AB1C0C" w:rsidP="00740E17">
      <w:pPr>
        <w:pStyle w:val="FootnoteText"/>
        <w:ind w:left="284" w:hanging="284"/>
      </w:pPr>
      <w:r>
        <w:rPr>
          <w:rStyle w:val="FootnoteReference"/>
        </w:rPr>
        <w:footnoteRef/>
      </w:r>
      <w:r>
        <w:t xml:space="preserve"> </w:t>
      </w:r>
      <w:r w:rsidR="00740E17">
        <w:tab/>
      </w:r>
      <w:r w:rsidRPr="00AC2B73">
        <w:t>Pricing Order</w:t>
      </w:r>
      <w:r>
        <w:t>,</w:t>
      </w:r>
      <w:r w:rsidRPr="00AC2B73">
        <w:t xml:space="preserve"> cl.2.1.1(b)(</w:t>
      </w:r>
      <w:r w:rsidRPr="00AC2B73">
        <w:t>i) and (ii)</w:t>
      </w:r>
    </w:p>
  </w:footnote>
  <w:footnote w:id="64">
    <w:p w14:paraId="07EDE5D1" w14:textId="70A31E1B" w:rsidR="00AB1C0C" w:rsidRDefault="00AB1C0C" w:rsidP="00740E17">
      <w:pPr>
        <w:pStyle w:val="FootnoteText"/>
        <w:ind w:left="284" w:hanging="284"/>
      </w:pPr>
      <w:r>
        <w:rPr>
          <w:rStyle w:val="FootnoteReference"/>
        </w:rPr>
        <w:footnoteRef/>
      </w:r>
      <w:r>
        <w:t xml:space="preserve"> </w:t>
      </w:r>
      <w:r w:rsidR="00740E17">
        <w:tab/>
      </w:r>
      <w:r>
        <w:t>National Gas Rules, rule 94 (3)(a) and (b)</w:t>
      </w:r>
    </w:p>
  </w:footnote>
  <w:footnote w:id="65">
    <w:p w14:paraId="4C96355A" w14:textId="25993491" w:rsidR="00AB1C0C" w:rsidRDefault="00AB1C0C" w:rsidP="00740E17">
      <w:pPr>
        <w:pStyle w:val="FootnoteText"/>
        <w:ind w:left="284" w:hanging="284"/>
      </w:pPr>
      <w:r>
        <w:rPr>
          <w:rStyle w:val="FootnoteReference"/>
        </w:rPr>
        <w:footnoteRef/>
      </w:r>
      <w:r>
        <w:t xml:space="preserve"> </w:t>
      </w:r>
      <w:r w:rsidR="00740E17">
        <w:tab/>
      </w:r>
      <w:r>
        <w:t>National Electricity Rules, rule 6.18.5.e.</w:t>
      </w:r>
    </w:p>
  </w:footnote>
  <w:footnote w:id="66">
    <w:p w14:paraId="3989A0E7" w14:textId="150BD5F6" w:rsidR="00AB1C0C" w:rsidRDefault="00AB1C0C" w:rsidP="00740E17">
      <w:pPr>
        <w:pStyle w:val="FootnoteText"/>
        <w:ind w:left="284" w:hanging="284"/>
      </w:pPr>
      <w:r>
        <w:rPr>
          <w:rStyle w:val="FootnoteReference"/>
        </w:rPr>
        <w:footnoteRef/>
      </w:r>
      <w:r>
        <w:t xml:space="preserve"> </w:t>
      </w:r>
      <w:r w:rsidR="00740E17">
        <w:tab/>
      </w:r>
      <w:hyperlink r:id="rId4" w:history="1">
        <w:r>
          <w:rPr>
            <w:rStyle w:val="Hyperlink"/>
          </w:rPr>
          <w:t>National Water Initiative Pricing Principles (dcceew.gov.au)</w:t>
        </w:r>
      </w:hyperlink>
    </w:p>
  </w:footnote>
  <w:footnote w:id="67">
    <w:p w14:paraId="5ADB9CB1" w14:textId="507F974B" w:rsidR="00E43A6A" w:rsidRDefault="00E43A6A" w:rsidP="00740E17">
      <w:pPr>
        <w:pStyle w:val="FootnoteText"/>
        <w:ind w:left="284" w:hanging="284"/>
      </w:pPr>
      <w:r>
        <w:rPr>
          <w:rStyle w:val="FootnoteReference"/>
        </w:rPr>
        <w:footnoteRef/>
      </w:r>
      <w:r>
        <w:t xml:space="preserve"> </w:t>
      </w:r>
      <w:r w:rsidR="00740E17">
        <w:tab/>
      </w:r>
      <w:r w:rsidR="008A064A" w:rsidRPr="008A064A">
        <w:t>IPART, Maximum prices to connect, extend or upgrade a service for metropolitan water agencies: Sydney Water Corporation, Hunter Water Corporation, Central Coast Council – final determination, October 2018, Schedule 2, section 2; Schedule 3, section 2.</w:t>
      </w:r>
    </w:p>
  </w:footnote>
  <w:footnote w:id="68">
    <w:p w14:paraId="624B2630" w14:textId="2566C86D" w:rsidR="008A064A" w:rsidRDefault="008A064A" w:rsidP="00740E17">
      <w:pPr>
        <w:pStyle w:val="FootnoteText"/>
        <w:ind w:left="284" w:hanging="284"/>
      </w:pPr>
      <w:r>
        <w:rPr>
          <w:rStyle w:val="FootnoteReference"/>
        </w:rPr>
        <w:footnoteRef/>
      </w:r>
      <w:r>
        <w:t xml:space="preserve"> </w:t>
      </w:r>
      <w:r w:rsidR="00740E17">
        <w:tab/>
      </w:r>
      <w:r w:rsidR="00201461" w:rsidRPr="00201461">
        <w:t>AER, Connection charge guidelines for electricity customers Under chapter 5A of the National Electricity Rules, version 3.0, April 2023, section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2213" w14:textId="1166DF8C" w:rsidR="00C91D0C" w:rsidRDefault="007002EB">
    <w:pPr>
      <w:pStyle w:val="Header"/>
    </w:pPr>
    <w:r>
      <w:rPr>
        <w:noProof/>
      </w:rPr>
      <mc:AlternateContent>
        <mc:Choice Requires="wps">
          <w:drawing>
            <wp:anchor distT="0" distB="0" distL="114300" distR="114300" simplePos="1" relativeHeight="251658245" behindDoc="0" locked="0" layoutInCell="1" allowOverlap="1" wp14:anchorId="6BB43201" wp14:editId="2808CECF">
              <wp:simplePos x="0" y="0"/>
              <wp:positionH relativeFrom="column">
                <wp:posOffset>0</wp:posOffset>
              </wp:positionH>
              <wp:positionV relativeFrom="paragraph">
                <wp:posOffset>0</wp:posOffset>
              </wp:positionV>
              <wp:extent cx="1397000" cy="457200"/>
              <wp:effectExtent l="0" t="0" r="0" b="6350"/>
              <wp:wrapNone/>
              <wp:docPr id="110747423"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BB411" w14:textId="23764154" w:rsidR="007002EB" w:rsidRPr="00C50C55" w:rsidRDefault="00C50C55">
                          <w:pPr>
                            <w:rPr>
                              <w:b/>
                              <w:color w:val="FF0000"/>
                              <w:sz w:val="24"/>
                            </w:rPr>
                          </w:pPr>
                          <w:r w:rsidRPr="00C50C55">
                            <w:rPr>
                              <w:b/>
                              <w:color w:val="FF0000"/>
                              <w:sz w:val="24"/>
                            </w:rPr>
                            <w:fldChar w:fldCharType="begin"/>
                          </w:r>
                          <w:r w:rsidRPr="00C50C55">
                            <w:rPr>
                              <w:b/>
                              <w:color w:val="FF0000"/>
                              <w:sz w:val="24"/>
                            </w:rPr>
                            <w:instrText xml:space="preserve"> DOCPROPERTY PM_ProtectiveMarkingValue_Header \* MERGEFORMAT </w:instrText>
                          </w:r>
                          <w:r w:rsidRPr="00C50C55">
                            <w:rPr>
                              <w:b/>
                              <w:color w:val="FF0000"/>
                              <w:sz w:val="24"/>
                            </w:rPr>
                            <w:fldChar w:fldCharType="separate"/>
                          </w:r>
                          <w:r w:rsidR="009A4DD8">
                            <w:rPr>
                              <w:b/>
                              <w:color w:val="FF0000"/>
                              <w:sz w:val="24"/>
                            </w:rPr>
                            <w:t>OFFICIAL</w:t>
                          </w:r>
                          <w:r w:rsidRPr="00C50C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B43201" id="_x0000_t202" coordsize="21600,21600" o:spt="202" path="m,l,21600r21600,l21600,xe">
              <v:stroke joinstyle="miter"/>
              <v:path gradientshapeok="t" o:connecttype="rect"/>
            </v:shapetype>
            <v:shape id="janusSEAL SC H_EvenPage" o:spid="_x0000_s1046" type="#_x0000_t202" style="position:absolute;margin-left:0;margin-top:0;width:110pt;height:36pt;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6A6BB411" w14:textId="23764154" w:rsidR="007002EB" w:rsidRPr="00C50C55" w:rsidRDefault="00C50C55">
                    <w:pPr>
                      <w:rPr>
                        <w:b/>
                        <w:color w:val="FF0000"/>
                        <w:sz w:val="24"/>
                      </w:rPr>
                    </w:pPr>
                    <w:r w:rsidRPr="00C50C55">
                      <w:rPr>
                        <w:b/>
                        <w:color w:val="FF0000"/>
                        <w:sz w:val="24"/>
                      </w:rPr>
                      <w:fldChar w:fldCharType="begin"/>
                    </w:r>
                    <w:r w:rsidRPr="00C50C55">
                      <w:rPr>
                        <w:b/>
                        <w:color w:val="FF0000"/>
                        <w:sz w:val="24"/>
                      </w:rPr>
                      <w:instrText xml:space="preserve"> DOCPROPERTY PM_ProtectiveMarkingValue_Header \* MERGEFORMAT </w:instrText>
                    </w:r>
                    <w:r w:rsidRPr="00C50C55">
                      <w:rPr>
                        <w:b/>
                        <w:color w:val="FF0000"/>
                        <w:sz w:val="24"/>
                      </w:rPr>
                      <w:fldChar w:fldCharType="separate"/>
                    </w:r>
                    <w:r w:rsidR="009A4DD8">
                      <w:rPr>
                        <w:b/>
                        <w:color w:val="FF0000"/>
                        <w:sz w:val="24"/>
                      </w:rPr>
                      <w:t>OFFICIAL</w:t>
                    </w:r>
                    <w:r w:rsidRPr="00C50C55">
                      <w:rPr>
                        <w:b/>
                        <w:color w:val="FF0000"/>
                        <w:sz w:val="24"/>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7A987" w14:textId="648C6F4F" w:rsidR="003A30F3" w:rsidRPr="00633068" w:rsidRDefault="00A3752B" w:rsidP="00633068">
    <w:pPr>
      <w:pStyle w:val="Header"/>
      <w:tabs>
        <w:tab w:val="clear" w:pos="4680"/>
        <w:tab w:val="clear" w:pos="9360"/>
        <w:tab w:val="left" w:pos="2236"/>
      </w:tabs>
    </w:pPr>
    <w:r>
      <w:rPr>
        <w:noProof/>
        <w:lang w:eastAsia="en-AU"/>
      </w:rPr>
      <mc:AlternateContent>
        <mc:Choice Requires="wps">
          <w:drawing>
            <wp:anchor distT="0" distB="0" distL="114300" distR="114300" simplePos="0" relativeHeight="251658246" behindDoc="0" locked="1" layoutInCell="0" allowOverlap="1" wp14:anchorId="7A972793" wp14:editId="07325790">
              <wp:simplePos x="0" y="0"/>
              <wp:positionH relativeFrom="margin">
                <wp:align>center</wp:align>
              </wp:positionH>
              <wp:positionV relativeFrom="topMargin">
                <wp:align>center</wp:align>
              </wp:positionV>
              <wp:extent cx="892175" cy="342900"/>
              <wp:effectExtent l="0" t="0" r="0" b="0"/>
              <wp:wrapNone/>
              <wp:docPr id="253101215"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7AEB2" w14:textId="05BD5200" w:rsidR="00A3752B" w:rsidRPr="00A3752B" w:rsidRDefault="00A3752B" w:rsidP="00A3752B">
                          <w:pPr>
                            <w:spacing w:before="0" w:after="0"/>
                            <w:jc w:val="center"/>
                            <w:rPr>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972793" id="_x0000_t202" coordsize="21600,21600" o:spt="202" path="m,l,21600r21600,l21600,xe">
              <v:stroke joinstyle="miter"/>
              <v:path gradientshapeok="t" o:connecttype="rect"/>
            </v:shapetype>
            <v:shape id="janusSEAL SC Header" o:spid="_x0000_s1047" type="#_x0000_t202" style="position:absolute;margin-left:0;margin-top:0;width:70.25pt;height:27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O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rqaowNVAeczkFPvLd82WAPK+bD&#10;K3PINA6E6g0vuEgFWAuOFiU1uN+f3cd4JAC9lLSonJIalDYl6qdBYqbD8TgKLR3Gk7sRHty1Z3Pt&#10;MTv9CCjNIf4Sy5MZ44M6mdKBfkeJL2JNdDHDsXJJw8l8DL2a8YtwsVikIJSWZWFl1pbH1BHTiO9b&#10;986cPZIQkL1nOCmMFR+46GPjS28Xu4CMJKIiyj2mR/BRlom/4xeKur8+p6jLR5//AQ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N56FU4YAgAAMAQAAA4AAAAAAAAAAAAAAAAALgIAAGRycy9lMm9Eb2MueG1sUEsBAi0AFAAGAAgA&#10;AAAhAGQf0UfbAAAABAEAAA8AAAAAAAAAAAAAAAAAcgQAAGRycy9kb3ducmV2LnhtbFBLBQYAAAAA&#10;BAAEAPMAAAB6BQAAAAA=&#10;" o:allowincell="f" filled="f" stroked="f" strokeweight=".5pt">
              <v:textbox style="mso-fit-shape-to-text:t">
                <w:txbxContent>
                  <w:p w14:paraId="4B07AEB2" w14:textId="05BD5200" w:rsidR="00A3752B" w:rsidRPr="00A3752B" w:rsidRDefault="00A3752B" w:rsidP="00A3752B">
                    <w:pPr>
                      <w:spacing w:before="0" w:after="0"/>
                      <w:jc w:val="center"/>
                      <w:rPr>
                        <w:b/>
                        <w:color w:val="FF0000"/>
                        <w:sz w:val="24"/>
                      </w:rPr>
                    </w:pPr>
                  </w:p>
                </w:txbxContent>
              </v:textbox>
              <w10:wrap anchorx="margin" anchory="margin"/>
              <w10:anchorlock/>
            </v:shape>
          </w:pict>
        </mc:Fallback>
      </mc:AlternateContent>
    </w:r>
    <w:r w:rsidR="003A30F3">
      <w:rPr>
        <w:noProof/>
        <w:lang w:eastAsia="en-AU"/>
      </w:rPr>
      <mc:AlternateContent>
        <mc:Choice Requires="wpg">
          <w:drawing>
            <wp:anchor distT="0" distB="0" distL="114300" distR="114300" simplePos="0" relativeHeight="251658243" behindDoc="0" locked="1" layoutInCell="1" allowOverlap="1" wp14:anchorId="62EDA02A" wp14:editId="51264A44">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BC05BA" id="Group 13"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2" behindDoc="1" locked="1" layoutInCell="1" allowOverlap="1" wp14:anchorId="44FC044B" wp14:editId="133D992D">
          <wp:simplePos x="0" y="0"/>
          <wp:positionH relativeFrom="page">
            <wp:posOffset>720090</wp:posOffset>
          </wp:positionH>
          <wp:positionV relativeFrom="page">
            <wp:posOffset>720090</wp:posOffset>
          </wp:positionV>
          <wp:extent cx="2656800" cy="828000"/>
          <wp:effectExtent l="0" t="0" r="0" b="0"/>
          <wp:wrapTopAndBottom/>
          <wp:docPr id="208634112" name="Picture 20863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3EF91" w14:textId="74D6D34C" w:rsidR="003A30F3" w:rsidRDefault="007002EB" w:rsidP="007C7E2D">
    <w:pPr>
      <w:pStyle w:val="Header"/>
      <w:tabs>
        <w:tab w:val="clear" w:pos="4680"/>
        <w:tab w:val="clear" w:pos="9360"/>
        <w:tab w:val="left" w:pos="2236"/>
      </w:tabs>
    </w:pPr>
    <w:r>
      <w:rPr>
        <w:noProof/>
        <w:lang w:eastAsia="en-AU"/>
      </w:rPr>
      <mc:AlternateContent>
        <mc:Choice Requires="wps">
          <w:drawing>
            <wp:anchor distT="0" distB="0" distL="114300" distR="114300" simplePos="1" relativeHeight="251658244" behindDoc="0" locked="0" layoutInCell="1" allowOverlap="1" wp14:anchorId="73F3A1EA" wp14:editId="2FE5B6A7">
              <wp:simplePos x="0" y="0"/>
              <wp:positionH relativeFrom="column">
                <wp:posOffset>0</wp:posOffset>
              </wp:positionH>
              <wp:positionV relativeFrom="paragraph">
                <wp:posOffset>0</wp:posOffset>
              </wp:positionV>
              <wp:extent cx="1397000" cy="457200"/>
              <wp:effectExtent l="0" t="0" r="0" b="6350"/>
              <wp:wrapNone/>
              <wp:docPr id="1147311377"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D082A" w14:textId="5A5BE0F1" w:rsidR="007002EB" w:rsidRPr="00C50C55" w:rsidRDefault="00C50C55">
                          <w:pPr>
                            <w:rPr>
                              <w:b/>
                              <w:color w:val="FF0000"/>
                              <w:sz w:val="24"/>
                            </w:rPr>
                          </w:pPr>
                          <w:r w:rsidRPr="00C50C55">
                            <w:rPr>
                              <w:b/>
                              <w:color w:val="FF0000"/>
                              <w:sz w:val="24"/>
                            </w:rPr>
                            <w:fldChar w:fldCharType="begin"/>
                          </w:r>
                          <w:r w:rsidRPr="00C50C55">
                            <w:rPr>
                              <w:b/>
                              <w:color w:val="FF0000"/>
                              <w:sz w:val="24"/>
                            </w:rPr>
                            <w:instrText xml:space="preserve"> DOCPROPERTY PM_ProtectiveMarkingValue_Header \* MERGEFORMAT </w:instrText>
                          </w:r>
                          <w:r w:rsidRPr="00C50C55">
                            <w:rPr>
                              <w:b/>
                              <w:color w:val="FF0000"/>
                              <w:sz w:val="24"/>
                            </w:rPr>
                            <w:fldChar w:fldCharType="separate"/>
                          </w:r>
                          <w:r w:rsidR="009A4DD8">
                            <w:rPr>
                              <w:b/>
                              <w:color w:val="FF0000"/>
                              <w:sz w:val="24"/>
                            </w:rPr>
                            <w:t>OFFICIAL</w:t>
                          </w:r>
                          <w:r w:rsidRPr="00C50C55">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F3A1EA" id="_x0000_t202" coordsize="21600,21600" o:spt="202" path="m,l,21600r21600,l21600,xe">
              <v:stroke joinstyle="miter"/>
              <v:path gradientshapeok="t" o:connecttype="rect"/>
            </v:shapetype>
            <v:shape id="janusSEAL SC H_FirstPage" o:spid="_x0000_s1048" type="#_x0000_t202" style="position:absolute;margin-left:0;margin-top:0;width:110pt;height:36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" filled="f" stroked="f" strokeweight=".5pt">
              <v:textbox style="mso-fit-shape-to-text:t">
                <w:txbxContent>
                  <w:p w14:paraId="460D082A" w14:textId="5A5BE0F1" w:rsidR="007002EB" w:rsidRPr="00C50C55" w:rsidRDefault="00C50C55">
                    <w:pPr>
                      <w:rPr>
                        <w:b/>
                        <w:color w:val="FF0000"/>
                        <w:sz w:val="24"/>
                      </w:rPr>
                    </w:pPr>
                    <w:r w:rsidRPr="00C50C55">
                      <w:rPr>
                        <w:b/>
                        <w:color w:val="FF0000"/>
                        <w:sz w:val="24"/>
                      </w:rPr>
                      <w:fldChar w:fldCharType="begin"/>
                    </w:r>
                    <w:r w:rsidRPr="00C50C55">
                      <w:rPr>
                        <w:b/>
                        <w:color w:val="FF0000"/>
                        <w:sz w:val="24"/>
                      </w:rPr>
                      <w:instrText xml:space="preserve"> DOCPROPERTY PM_ProtectiveMarkingValue_Header \* MERGEFORMAT </w:instrText>
                    </w:r>
                    <w:r w:rsidRPr="00C50C55">
                      <w:rPr>
                        <w:b/>
                        <w:color w:val="FF0000"/>
                        <w:sz w:val="24"/>
                      </w:rPr>
                      <w:fldChar w:fldCharType="separate"/>
                    </w:r>
                    <w:r w:rsidR="009A4DD8">
                      <w:rPr>
                        <w:b/>
                        <w:color w:val="FF0000"/>
                        <w:sz w:val="24"/>
                      </w:rPr>
                      <w:t>OFFICIAL</w:t>
                    </w:r>
                    <w:r w:rsidRPr="00C50C55">
                      <w:rPr>
                        <w:b/>
                        <w:color w:val="FF0000"/>
                        <w:sz w:val="24"/>
                      </w:rPr>
                      <w:fldChar w:fldCharType="end"/>
                    </w:r>
                  </w:p>
                </w:txbxContent>
              </v:textbox>
            </v:shape>
          </w:pict>
        </mc:Fallback>
      </mc:AlternateContent>
    </w:r>
    <w:r w:rsidR="003A30F3">
      <w:rPr>
        <w:noProof/>
        <w:lang w:eastAsia="en-AU"/>
      </w:rPr>
      <mc:AlternateContent>
        <mc:Choice Requires="wpg">
          <w:drawing>
            <wp:anchor distT="0" distB="0" distL="114300" distR="114300" simplePos="0" relativeHeight="251658241" behindDoc="0" locked="1" layoutInCell="1" allowOverlap="1" wp14:anchorId="3D2A045A" wp14:editId="0FF5C29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F2F71A" id="Group 29"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62370926" wp14:editId="7466DF07">
          <wp:simplePos x="0" y="0"/>
          <wp:positionH relativeFrom="page">
            <wp:posOffset>720090</wp:posOffset>
          </wp:positionH>
          <wp:positionV relativeFrom="page">
            <wp:posOffset>720090</wp:posOffset>
          </wp:positionV>
          <wp:extent cx="2656800" cy="828000"/>
          <wp:effectExtent l="0" t="0" r="0" b="0"/>
          <wp:wrapTopAndBottom/>
          <wp:docPr id="34774076" name="Picture 3477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rsidR="003A30F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54EF" w14:textId="07E3D20A" w:rsidR="003A30F3" w:rsidRPr="00633068" w:rsidRDefault="00A3752B" w:rsidP="00633068">
    <w:pPr>
      <w:pStyle w:val="Header"/>
      <w:tabs>
        <w:tab w:val="clear" w:pos="4680"/>
        <w:tab w:val="clear" w:pos="9360"/>
        <w:tab w:val="left" w:pos="2236"/>
      </w:tabs>
    </w:pPr>
    <w:r>
      <w:rPr>
        <w:noProof/>
      </w:rPr>
      <mc:AlternateContent>
        <mc:Choice Requires="wps">
          <w:drawing>
            <wp:anchor distT="0" distB="0" distL="114300" distR="114300" simplePos="0" relativeHeight="251658247" behindDoc="0" locked="1" layoutInCell="0" allowOverlap="1" wp14:anchorId="49FD8B32" wp14:editId="48088E90">
              <wp:simplePos x="0" y="0"/>
              <wp:positionH relativeFrom="margin">
                <wp:align>center</wp:align>
              </wp:positionH>
              <wp:positionV relativeFrom="topMargin">
                <wp:align>center</wp:align>
              </wp:positionV>
              <wp:extent cx="892175" cy="342900"/>
              <wp:effectExtent l="0" t="0" r="0" b="0"/>
              <wp:wrapNone/>
              <wp:docPr id="1394670050"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D7345" w14:textId="00E2A7B2" w:rsidR="00A3752B" w:rsidRPr="00A3752B" w:rsidRDefault="00A3752B" w:rsidP="00A3752B">
                          <w:pPr>
                            <w:spacing w:before="0" w:after="0"/>
                            <w:jc w:val="center"/>
                            <w:rPr>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FD8B32" id="_x0000_t202" coordsize="21600,21600" o:spt="202" path="m,l,21600r21600,l21600,xe">
              <v:stroke joinstyle="miter"/>
              <v:path gradientshapeok="t" o:connecttype="rect"/>
            </v:shapetype>
            <v:shape id="_x0000_s1049" type="#_x0000_t202" style="position:absolute;margin-left:0;margin-top:0;width:70.25pt;height:27pt;z-index:25165824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us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" o:allowincell="f" filled="f" stroked="f" strokeweight=".5pt">
              <v:textbox style="mso-fit-shape-to-text:t">
                <w:txbxContent>
                  <w:p w14:paraId="2BFD7345" w14:textId="00E2A7B2" w:rsidR="00A3752B" w:rsidRPr="00A3752B" w:rsidRDefault="00A3752B" w:rsidP="00A3752B">
                    <w:pPr>
                      <w:spacing w:before="0" w:after="0"/>
                      <w:jc w:val="center"/>
                      <w:rPr>
                        <w:b/>
                        <w:color w:val="FF0000"/>
                        <w:sz w:val="24"/>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2A4EF82"/>
    <w:lvl w:ilvl="0">
      <w:start w:val="1"/>
      <w:numFmt w:val="bullet"/>
      <w:pStyle w:val="ListBullet4"/>
      <w:lvlText w:val=""/>
      <w:lvlJc w:val="left"/>
      <w:pPr>
        <w:tabs>
          <w:tab w:val="num" w:pos="926"/>
        </w:tabs>
        <w:ind w:left="926" w:hanging="360"/>
      </w:pPr>
      <w:rPr>
        <w:rFonts w:ascii="Symbol" w:hAnsi="Symbol" w:hint="default"/>
      </w:rPr>
    </w:lvl>
  </w:abstractNum>
  <w:abstractNum w:abstractNumId="1" w15:restartNumberingAfterBreak="0">
    <w:nsid w:val="03B57116"/>
    <w:multiLevelType w:val="multilevel"/>
    <w:tmpl w:val="E7AAFDB6"/>
    <w:lvl w:ilvl="0">
      <w:start w:val="1"/>
      <w:numFmt w:val="none"/>
      <w:suff w:val="nothing"/>
      <w:lvlText w:val=""/>
      <w:lvlJc w:val="left"/>
      <w:pPr>
        <w:ind w:left="113" w:firstLine="0"/>
      </w:pPr>
      <w:rPr>
        <w:rFonts w:hint="default"/>
      </w:rPr>
    </w:lvl>
    <w:lvl w:ilvl="1">
      <w:start w:val="1"/>
      <w:numFmt w:val="lowerLetter"/>
      <w:pStyle w:val="Footnotes"/>
      <w:lvlText w:val="(%2)"/>
      <w:lvlJc w:val="left"/>
      <w:pPr>
        <w:tabs>
          <w:tab w:val="num" w:pos="340"/>
        </w:tabs>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56A592D"/>
    <w:multiLevelType w:val="hybridMultilevel"/>
    <w:tmpl w:val="D692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B39BF"/>
    <w:multiLevelType w:val="hybridMultilevel"/>
    <w:tmpl w:val="4086B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C114BE"/>
    <w:multiLevelType w:val="hybridMultilevel"/>
    <w:tmpl w:val="0DB89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235D51"/>
    <w:multiLevelType w:val="hybridMultilevel"/>
    <w:tmpl w:val="623049B4"/>
    <w:lvl w:ilvl="0" w:tplc="791CC610">
      <w:start w:val="1"/>
      <w:numFmt w:val="decimal"/>
      <w:pStyle w:val="Heading1numbered"/>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B3C049B"/>
    <w:multiLevelType w:val="multilevel"/>
    <w:tmpl w:val="24E844B4"/>
    <w:lvl w:ilvl="0">
      <w:start w:val="1"/>
      <w:numFmt w:val="bullet"/>
      <w:pStyle w:val="PullOutBoxBullet"/>
      <w:lvlText w:val=""/>
      <w:lvlJc w:val="left"/>
      <w:pPr>
        <w:tabs>
          <w:tab w:val="num" w:pos="227"/>
        </w:tabs>
        <w:ind w:left="227" w:hanging="227"/>
      </w:pPr>
      <w:rPr>
        <w:rFonts w:ascii="Symbol" w:hAnsi="Symbol" w:hint="default"/>
        <w:position w:val="0"/>
        <w:sz w:val="18"/>
      </w:rPr>
    </w:lvl>
    <w:lvl w:ilvl="1">
      <w:start w:val="1"/>
      <w:numFmt w:val="bullet"/>
      <w:pStyle w:val="PullOutBoxBullet2"/>
      <w:lvlText w:val="–"/>
      <w:lvlJc w:val="left"/>
      <w:pPr>
        <w:tabs>
          <w:tab w:val="num" w:pos="454"/>
        </w:tabs>
        <w:ind w:left="454" w:hanging="227"/>
      </w:pPr>
      <w:rPr>
        <w:rFonts w:ascii="Arial" w:hAnsi="Arial" w:hint="default"/>
      </w:rPr>
    </w:lvl>
    <w:lvl w:ilvl="2">
      <w:start w:val="1"/>
      <w:numFmt w:val="bullet"/>
      <w:pStyle w:val="PullOutBoxBullet3"/>
      <w:lvlText w:val="○"/>
      <w:lvlJc w:val="left"/>
      <w:pPr>
        <w:tabs>
          <w:tab w:val="num" w:pos="681"/>
        </w:tabs>
        <w:ind w:left="681" w:hanging="227"/>
      </w:pPr>
      <w:rPr>
        <w:rFonts w:ascii="Calibri" w:hAnsi="Calibri" w:hint="default"/>
        <w:position w:val="2"/>
        <w:sz w:val="18"/>
      </w:rPr>
    </w:lvl>
    <w:lvl w:ilvl="3">
      <w:start w:val="1"/>
      <w:numFmt w:val="bullet"/>
      <w:pStyle w:val="PullOutBoxBullet4"/>
      <w:lvlText w:val="›"/>
      <w:lvlJc w:val="left"/>
      <w:pPr>
        <w:tabs>
          <w:tab w:val="num" w:pos="908"/>
        </w:tabs>
        <w:ind w:left="908" w:hanging="227"/>
      </w:pPr>
      <w:rPr>
        <w:rFonts w:ascii="Calibri" w:hAnsi="Calibri" w:hint="default"/>
      </w:rPr>
    </w:lvl>
    <w:lvl w:ilvl="4">
      <w:start w:val="1"/>
      <w:numFmt w:val="bullet"/>
      <w:lvlText w:val="-"/>
      <w:lvlJc w:val="left"/>
      <w:pPr>
        <w:tabs>
          <w:tab w:val="num" w:pos="1135"/>
        </w:tabs>
        <w:ind w:left="1135" w:hanging="227"/>
      </w:pPr>
      <w:rPr>
        <w:rFonts w:ascii="Arial" w:hAnsi="Arial"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7" w15:restartNumberingAfterBreak="0">
    <w:nsid w:val="1D75410A"/>
    <w:multiLevelType w:val="hybridMultilevel"/>
    <w:tmpl w:val="BC7C712C"/>
    <w:lvl w:ilvl="0" w:tplc="38CA1588">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7619B"/>
    <w:multiLevelType w:val="hybridMultilevel"/>
    <w:tmpl w:val="728A7E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30DA2"/>
    <w:multiLevelType w:val="hybridMultilevel"/>
    <w:tmpl w:val="888A8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4B6A47"/>
    <w:multiLevelType w:val="multilevel"/>
    <w:tmpl w:val="9F726544"/>
    <w:lvl w:ilvl="0">
      <w:start w:val="1"/>
      <w:numFmt w:val="lowerLetter"/>
      <w:pStyle w:val="ListAlpha"/>
      <w:lvlText w:val="%1."/>
      <w:lvlJc w:val="left"/>
      <w:pPr>
        <w:ind w:left="425" w:hanging="425"/>
      </w:pPr>
      <w:rPr>
        <w:rFonts w:hint="default"/>
      </w:rPr>
    </w:lvl>
    <w:lvl w:ilvl="1">
      <w:start w:val="1"/>
      <w:numFmt w:val="lowerRoman"/>
      <w:pStyle w:val="ListAlpha2"/>
      <w:lvlText w:val="%2."/>
      <w:lvlJc w:val="left"/>
      <w:pPr>
        <w:ind w:left="850" w:hanging="425"/>
      </w:pPr>
      <w:rPr>
        <w:rFonts w:hint="default"/>
      </w:rPr>
    </w:lvl>
    <w:lvl w:ilvl="2">
      <w:start w:val="1"/>
      <w:numFmt w:val="decimal"/>
      <w:pStyle w:val="ListAlpha3"/>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upperRoman"/>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2" w15:restartNumberingAfterBreak="0">
    <w:nsid w:val="27C445F5"/>
    <w:multiLevelType w:val="multilevel"/>
    <w:tmpl w:val="1B24B128"/>
    <w:lvl w:ilvl="0">
      <w:start w:val="1"/>
      <w:numFmt w:val="decimal"/>
      <w:pStyle w:val="PullOutBoxNumbered"/>
      <w:lvlText w:val="%1."/>
      <w:lvlJc w:val="left"/>
      <w:pPr>
        <w:ind w:left="425" w:hanging="425"/>
      </w:pPr>
      <w:rPr>
        <w:rFonts w:hint="default"/>
      </w:rPr>
    </w:lvl>
    <w:lvl w:ilvl="1">
      <w:start w:val="1"/>
      <w:numFmt w:val="lowerLetter"/>
      <w:pStyle w:val="PullOutBoxNumbered2"/>
      <w:lvlText w:val="%2."/>
      <w:lvlJc w:val="left"/>
      <w:pPr>
        <w:ind w:left="850" w:hanging="425"/>
      </w:pPr>
      <w:rPr>
        <w:rFonts w:hint="default"/>
      </w:rPr>
    </w:lvl>
    <w:lvl w:ilvl="2">
      <w:start w:val="1"/>
      <w:numFmt w:val="lowerRoman"/>
      <w:pStyle w:val="PullOutBoxNumbered3"/>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3" w15:restartNumberingAfterBreak="0">
    <w:nsid w:val="2B8D6EF9"/>
    <w:multiLevelType w:val="hybridMultilevel"/>
    <w:tmpl w:val="F73AF4BA"/>
    <w:lvl w:ilvl="0" w:tplc="0CB85BCC">
      <w:start w:val="1"/>
      <w:numFmt w:val="bullet"/>
      <w:pStyle w:val="Table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C6854"/>
    <w:multiLevelType w:val="hybridMultilevel"/>
    <w:tmpl w:val="EEF01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FA338D"/>
    <w:multiLevelType w:val="hybridMultilevel"/>
    <w:tmpl w:val="97D2031E"/>
    <w:styleLink w:val="Headings"/>
    <w:lvl w:ilvl="0" w:tplc="EDB02B78">
      <w:start w:val="1"/>
      <w:numFmt w:val="bullet"/>
      <w:lvlText w:val=""/>
      <w:lvlJc w:val="left"/>
      <w:pPr>
        <w:ind w:left="360" w:hanging="360"/>
      </w:pPr>
      <w:rPr>
        <w:rFonts w:ascii="Symbol" w:hAnsi="Symbol" w:hint="default"/>
        <w:color w:val="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522CB6"/>
    <w:multiLevelType w:val="hybridMultilevel"/>
    <w:tmpl w:val="138AE0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C13F27"/>
    <w:multiLevelType w:val="hybridMultilevel"/>
    <w:tmpl w:val="91D62C9E"/>
    <w:lvl w:ilvl="0" w:tplc="01F6A6B4">
      <w:start w:val="1"/>
      <w:numFmt w:val="bullet"/>
      <w:pStyle w:val="Pull-outBullet1"/>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8" w15:restartNumberingAfterBreak="0">
    <w:nsid w:val="3C7D509C"/>
    <w:multiLevelType w:val="hybridMultilevel"/>
    <w:tmpl w:val="6F1850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646EAD"/>
    <w:multiLevelType w:val="hybridMultilevel"/>
    <w:tmpl w:val="563A4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8B0109"/>
    <w:multiLevelType w:val="multilevel"/>
    <w:tmpl w:val="E7AAFDB6"/>
    <w:lvl w:ilvl="0">
      <w:start w:val="1"/>
      <w:numFmt w:val="none"/>
      <w:suff w:val="nothing"/>
      <w:lvlText w:val=""/>
      <w:lvlJc w:val="left"/>
      <w:pPr>
        <w:ind w:left="113" w:firstLine="0"/>
      </w:pPr>
      <w:rPr>
        <w:rFonts w:hint="default"/>
      </w:rPr>
    </w:lvl>
    <w:lvl w:ilvl="1">
      <w:start w:val="1"/>
      <w:numFmt w:val="lowerLetter"/>
      <w:lvlText w:val="(%2)"/>
      <w:lvlJc w:val="left"/>
      <w:pPr>
        <w:tabs>
          <w:tab w:val="num" w:pos="340"/>
        </w:tabs>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3" w15:restartNumberingAfterBreak="0">
    <w:nsid w:val="4C063496"/>
    <w:multiLevelType w:val="multilevel"/>
    <w:tmpl w:val="E7AAFDB6"/>
    <w:styleLink w:val="TableNumbering"/>
    <w:lvl w:ilvl="0">
      <w:start w:val="1"/>
      <w:numFmt w:val="none"/>
      <w:suff w:val="nothing"/>
      <w:lvlText w:val=""/>
      <w:lvlJc w:val="left"/>
      <w:pPr>
        <w:ind w:left="113" w:firstLine="0"/>
      </w:pPr>
      <w:rPr>
        <w:rFonts w:hint="default"/>
      </w:rPr>
    </w:lvl>
    <w:lvl w:ilvl="1">
      <w:start w:val="1"/>
      <w:numFmt w:val="lowerLetter"/>
      <w:lvlText w:val="(%2)"/>
      <w:lvlJc w:val="left"/>
      <w:pPr>
        <w:tabs>
          <w:tab w:val="num" w:pos="340"/>
        </w:tabs>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4" w15:restartNumberingAfterBreak="0">
    <w:nsid w:val="51C25453"/>
    <w:multiLevelType w:val="hybridMultilevel"/>
    <w:tmpl w:val="9A287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43370A"/>
    <w:multiLevelType w:val="multilevel"/>
    <w:tmpl w:val="24E844B4"/>
    <w:styleLink w:val="Appendices"/>
    <w:lvl w:ilvl="0">
      <w:start w:val="1"/>
      <w:numFmt w:val="bullet"/>
      <w:lvlText w:val=""/>
      <w:lvlJc w:val="left"/>
      <w:pPr>
        <w:tabs>
          <w:tab w:val="num" w:pos="227"/>
        </w:tabs>
        <w:ind w:left="227" w:hanging="227"/>
      </w:pPr>
      <w:rPr>
        <w:rFonts w:ascii="Symbol" w:hAnsi="Symbol" w:hint="default"/>
        <w:position w:val="0"/>
        <w:sz w:val="18"/>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Calibri" w:hAnsi="Calibri" w:hint="default"/>
        <w:position w:val="2"/>
        <w:sz w:val="18"/>
      </w:rPr>
    </w:lvl>
    <w:lvl w:ilvl="3">
      <w:start w:val="1"/>
      <w:numFmt w:val="bullet"/>
      <w:lvlText w:val="›"/>
      <w:lvlJc w:val="left"/>
      <w:pPr>
        <w:tabs>
          <w:tab w:val="num" w:pos="908"/>
        </w:tabs>
        <w:ind w:left="908" w:hanging="227"/>
      </w:pPr>
      <w:rPr>
        <w:rFonts w:ascii="Calibri" w:hAnsi="Calibri" w:hint="default"/>
      </w:rPr>
    </w:lvl>
    <w:lvl w:ilvl="4">
      <w:start w:val="1"/>
      <w:numFmt w:val="bullet"/>
      <w:lvlText w:val="-"/>
      <w:lvlJc w:val="left"/>
      <w:pPr>
        <w:tabs>
          <w:tab w:val="num" w:pos="1135"/>
        </w:tabs>
        <w:ind w:left="1135" w:hanging="227"/>
      </w:pPr>
      <w:rPr>
        <w:rFonts w:ascii="Arial" w:hAnsi="Arial" w:hint="default"/>
      </w:rPr>
    </w:lvl>
    <w:lvl w:ilvl="5">
      <w:start w:val="1"/>
      <w:numFmt w:val="none"/>
      <w:lvlText w:val=""/>
      <w:lvlJc w:val="left"/>
      <w:pPr>
        <w:tabs>
          <w:tab w:val="num" w:pos="1362"/>
        </w:tabs>
        <w:ind w:left="1362" w:hanging="227"/>
      </w:pPr>
      <w:rPr>
        <w:rFonts w:hint="default"/>
      </w:rPr>
    </w:lvl>
    <w:lvl w:ilvl="6">
      <w:start w:val="1"/>
      <w:numFmt w:val="none"/>
      <w:lvlText w:val=""/>
      <w:lvlJc w:val="left"/>
      <w:pPr>
        <w:tabs>
          <w:tab w:val="num" w:pos="1589"/>
        </w:tabs>
        <w:ind w:left="1589" w:hanging="227"/>
      </w:pPr>
      <w:rPr>
        <w:rFonts w:hint="default"/>
      </w:rPr>
    </w:lvl>
    <w:lvl w:ilvl="7">
      <w:start w:val="1"/>
      <w:numFmt w:val="none"/>
      <w:lvlText w:val=""/>
      <w:lvlJc w:val="left"/>
      <w:pPr>
        <w:tabs>
          <w:tab w:val="num" w:pos="1816"/>
        </w:tabs>
        <w:ind w:left="1816" w:hanging="227"/>
      </w:pPr>
      <w:rPr>
        <w:rFonts w:hint="default"/>
      </w:rPr>
    </w:lvl>
    <w:lvl w:ilvl="8">
      <w:start w:val="1"/>
      <w:numFmt w:val="none"/>
      <w:lvlText w:val=""/>
      <w:lvlJc w:val="left"/>
      <w:pPr>
        <w:tabs>
          <w:tab w:val="num" w:pos="2043"/>
        </w:tabs>
        <w:ind w:left="2043" w:hanging="227"/>
      </w:pPr>
      <w:rPr>
        <w:rFonts w:hint="default"/>
      </w:rPr>
    </w:lvl>
  </w:abstractNum>
  <w:abstractNum w:abstractNumId="26" w15:restartNumberingAfterBreak="0">
    <w:nsid w:val="5D0540A9"/>
    <w:multiLevelType w:val="multilevel"/>
    <w:tmpl w:val="2C202836"/>
    <w:name w:val="FSAppendices"/>
    <w:styleLink w:val="TableFootnotes"/>
    <w:lvl w:ilvl="0">
      <w:start w:val="1"/>
      <w:numFmt w:val="upperLetter"/>
      <w:pStyle w:val="Heading8"/>
      <w:lvlText w:val="Appendix %1."/>
      <w:lvlJc w:val="left"/>
      <w:pPr>
        <w:ind w:left="1701" w:hanging="1701"/>
      </w:pPr>
      <w:rPr>
        <w:rFonts w:hint="default"/>
        <w:b/>
        <w:i w:val="0"/>
        <w:sz w:val="28"/>
      </w:rPr>
    </w:lvl>
    <w:lvl w:ilvl="1">
      <w:start w:val="1"/>
      <w:numFmt w:val="decimal"/>
      <w:pStyle w:val="Heading9"/>
      <w:lvlText w:val="%1.%2"/>
      <w:lvlJc w:val="left"/>
      <w:pPr>
        <w:ind w:left="737" w:hanging="737"/>
      </w:pPr>
      <w:rPr>
        <w:rFonts w:hint="default"/>
        <w:b/>
        <w:i w:val="0"/>
        <w:sz w:val="24"/>
      </w:rPr>
    </w:lvl>
    <w:lvl w:ilvl="2">
      <w:start w:val="1"/>
      <w:numFmt w:val="decimal"/>
      <w:pStyle w:val="AppendixHeading2"/>
      <w:lvlText w:val="%1.%2.%3"/>
      <w:lvlJc w:val="left"/>
      <w:pPr>
        <w:ind w:left="737" w:hanging="737"/>
      </w:pPr>
      <w:rPr>
        <w:rFonts w:hint="default"/>
      </w:rPr>
    </w:lvl>
    <w:lvl w:ilvl="3">
      <w:start w:val="1"/>
      <w:numFmt w:val="decimal"/>
      <w:pStyle w:val="AppendixHeading3"/>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7" w15:restartNumberingAfterBreak="0">
    <w:nsid w:val="5E7A45AD"/>
    <w:multiLevelType w:val="multilevel"/>
    <w:tmpl w:val="9884A068"/>
    <w:lvl w:ilvl="0">
      <w:start w:val="1"/>
      <w:numFmt w:val="bullet"/>
      <w:pStyle w:val="PullQuote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C4539A"/>
    <w:multiLevelType w:val="hybridMultilevel"/>
    <w:tmpl w:val="0A56D7AC"/>
    <w:lvl w:ilvl="0" w:tplc="46DAA0D8">
      <w:start w:val="1"/>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9" w15:restartNumberingAfterBreak="0">
    <w:nsid w:val="619314EA"/>
    <w:multiLevelType w:val="hybridMultilevel"/>
    <w:tmpl w:val="8E7A8236"/>
    <w:lvl w:ilvl="0" w:tplc="B114BD7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3F61767"/>
    <w:multiLevelType w:val="hybridMultilevel"/>
    <w:tmpl w:val="E9BA24B4"/>
    <w:styleLink w:val="MyListNumbering"/>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C0153A"/>
    <w:multiLevelType w:val="multilevel"/>
    <w:tmpl w:val="2CD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327B43"/>
    <w:multiLevelType w:val="hybridMultilevel"/>
    <w:tmpl w:val="563A40C8"/>
    <w:styleLink w:val="HangingList"/>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0732D36"/>
    <w:multiLevelType w:val="multilevel"/>
    <w:tmpl w:val="E7AAFDB6"/>
    <w:styleLink w:val="ListLetters"/>
    <w:lvl w:ilvl="0">
      <w:start w:val="1"/>
      <w:numFmt w:val="none"/>
      <w:suff w:val="nothing"/>
      <w:lvlText w:val=""/>
      <w:lvlJc w:val="left"/>
      <w:pPr>
        <w:ind w:left="113" w:firstLine="0"/>
      </w:pPr>
      <w:rPr>
        <w:rFonts w:hint="default"/>
      </w:rPr>
    </w:lvl>
    <w:lvl w:ilvl="1">
      <w:start w:val="1"/>
      <w:numFmt w:val="lowerLetter"/>
      <w:lvlText w:val="(%2)"/>
      <w:lvlJc w:val="left"/>
      <w:pPr>
        <w:tabs>
          <w:tab w:val="num" w:pos="340"/>
        </w:tabs>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76992BC4"/>
    <w:multiLevelType w:val="hybridMultilevel"/>
    <w:tmpl w:val="D918F9FC"/>
    <w:lvl w:ilvl="0" w:tplc="C988017E">
      <w:start w:val="1"/>
      <w:numFmt w:val="bullet"/>
      <w:pStyle w:val="ListBullet2"/>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6" w15:restartNumberingAfterBreak="0">
    <w:nsid w:val="780706C0"/>
    <w:multiLevelType w:val="hybridMultilevel"/>
    <w:tmpl w:val="39EE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5F12AB"/>
    <w:multiLevelType w:val="multilevel"/>
    <w:tmpl w:val="1B24B128"/>
    <w:name w:val="Pull Box Numbering"/>
    <w:styleLink w:val="TableBullets0"/>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38" w15:restartNumberingAfterBreak="0">
    <w:nsid w:val="7C0B0281"/>
    <w:multiLevelType w:val="multilevel"/>
    <w:tmpl w:val="365CEDCA"/>
    <w:lvl w:ilvl="0">
      <w:start w:val="1"/>
      <w:numFmt w:val="decimal"/>
      <w:pStyle w:val="QuoteNumber"/>
      <w:lvlText w:val="%1."/>
      <w:lvlJc w:val="left"/>
      <w:pPr>
        <w:ind w:left="652"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E3E578C"/>
    <w:multiLevelType w:val="hybridMultilevel"/>
    <w:tmpl w:val="DBE0C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90135712">
    <w:abstractNumId w:val="19"/>
  </w:num>
  <w:num w:numId="2" w16cid:durableId="1011495033">
    <w:abstractNumId w:val="9"/>
  </w:num>
  <w:num w:numId="3" w16cid:durableId="1034042019">
    <w:abstractNumId w:val="21"/>
  </w:num>
  <w:num w:numId="4" w16cid:durableId="555287133">
    <w:abstractNumId w:val="32"/>
  </w:num>
  <w:num w:numId="5" w16cid:durableId="809134837">
    <w:abstractNumId w:val="22"/>
  </w:num>
  <w:num w:numId="6" w16cid:durableId="665984960">
    <w:abstractNumId w:val="34"/>
  </w:num>
  <w:num w:numId="7" w16cid:durableId="1872958042">
    <w:abstractNumId w:val="26"/>
  </w:num>
  <w:num w:numId="8" w16cid:durableId="458499806">
    <w:abstractNumId w:val="11"/>
  </w:num>
  <w:num w:numId="9" w16cid:durableId="359092188">
    <w:abstractNumId w:val="37"/>
  </w:num>
  <w:num w:numId="10" w16cid:durableId="234634518">
    <w:abstractNumId w:val="38"/>
  </w:num>
  <w:num w:numId="11" w16cid:durableId="177624400">
    <w:abstractNumId w:val="27"/>
  </w:num>
  <w:num w:numId="12" w16cid:durableId="2104648433">
    <w:abstractNumId w:val="25"/>
  </w:num>
  <w:num w:numId="13" w16cid:durableId="1782383498">
    <w:abstractNumId w:val="30"/>
  </w:num>
  <w:num w:numId="14" w16cid:durableId="1072242524">
    <w:abstractNumId w:val="24"/>
  </w:num>
  <w:num w:numId="15" w16cid:durableId="96416215">
    <w:abstractNumId w:val="18"/>
  </w:num>
  <w:num w:numId="16" w16cid:durableId="2001303364">
    <w:abstractNumId w:val="15"/>
  </w:num>
  <w:num w:numId="17" w16cid:durableId="1012072471">
    <w:abstractNumId w:val="13"/>
  </w:num>
  <w:num w:numId="18" w16cid:durableId="1652173778">
    <w:abstractNumId w:val="0"/>
  </w:num>
  <w:num w:numId="19" w16cid:durableId="916593850">
    <w:abstractNumId w:val="35"/>
  </w:num>
  <w:num w:numId="20" w16cid:durableId="11225534">
    <w:abstractNumId w:val="16"/>
  </w:num>
  <w:num w:numId="21" w16cid:durableId="1932735631">
    <w:abstractNumId w:val="39"/>
  </w:num>
  <w:num w:numId="22" w16cid:durableId="878933056">
    <w:abstractNumId w:val="7"/>
  </w:num>
  <w:num w:numId="23" w16cid:durableId="864170697">
    <w:abstractNumId w:val="14"/>
  </w:num>
  <w:num w:numId="24" w16cid:durableId="1947539669">
    <w:abstractNumId w:val="29"/>
  </w:num>
  <w:num w:numId="25" w16cid:durableId="1265653232">
    <w:abstractNumId w:val="10"/>
  </w:num>
  <w:num w:numId="26" w16cid:durableId="1492135480">
    <w:abstractNumId w:val="20"/>
  </w:num>
  <w:num w:numId="27" w16cid:durableId="112094495">
    <w:abstractNumId w:val="8"/>
  </w:num>
  <w:num w:numId="28" w16cid:durableId="1329092014">
    <w:abstractNumId w:val="17"/>
  </w:num>
  <w:num w:numId="29" w16cid:durableId="2046981688">
    <w:abstractNumId w:val="5"/>
  </w:num>
  <w:num w:numId="30" w16cid:durableId="343632569">
    <w:abstractNumId w:val="4"/>
  </w:num>
  <w:num w:numId="31" w16cid:durableId="241649570">
    <w:abstractNumId w:val="1"/>
  </w:num>
  <w:num w:numId="32" w16cid:durableId="306083082">
    <w:abstractNumId w:val="12"/>
  </w:num>
  <w:num w:numId="33" w16cid:durableId="18721102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9682828">
    <w:abstractNumId w:val="28"/>
  </w:num>
  <w:num w:numId="35" w16cid:durableId="1175999595">
    <w:abstractNumId w:val="31"/>
  </w:num>
  <w:num w:numId="36" w16cid:durableId="1694574350">
    <w:abstractNumId w:val="36"/>
  </w:num>
  <w:num w:numId="37" w16cid:durableId="587881681">
    <w:abstractNumId w:val="2"/>
  </w:num>
  <w:num w:numId="38" w16cid:durableId="1578519109">
    <w:abstractNumId w:val="23"/>
  </w:num>
  <w:num w:numId="39" w16cid:durableId="1826121367">
    <w:abstractNumId w:val="33"/>
  </w:num>
  <w:num w:numId="40" w16cid:durableId="67334288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6D"/>
    <w:rsid w:val="00000107"/>
    <w:rsid w:val="0000012A"/>
    <w:rsid w:val="000001E3"/>
    <w:rsid w:val="00000415"/>
    <w:rsid w:val="000006E3"/>
    <w:rsid w:val="0000097C"/>
    <w:rsid w:val="00000A0D"/>
    <w:rsid w:val="00000C0B"/>
    <w:rsid w:val="00000D85"/>
    <w:rsid w:val="000011CA"/>
    <w:rsid w:val="000012D3"/>
    <w:rsid w:val="000013B3"/>
    <w:rsid w:val="000013C4"/>
    <w:rsid w:val="000014EA"/>
    <w:rsid w:val="00001686"/>
    <w:rsid w:val="00001723"/>
    <w:rsid w:val="000017B7"/>
    <w:rsid w:val="000017B9"/>
    <w:rsid w:val="000019A0"/>
    <w:rsid w:val="00001AAF"/>
    <w:rsid w:val="00001B48"/>
    <w:rsid w:val="00001B7F"/>
    <w:rsid w:val="00001C8F"/>
    <w:rsid w:val="00001E34"/>
    <w:rsid w:val="00001F13"/>
    <w:rsid w:val="000021F3"/>
    <w:rsid w:val="0000222B"/>
    <w:rsid w:val="000023DD"/>
    <w:rsid w:val="000025B6"/>
    <w:rsid w:val="000026AE"/>
    <w:rsid w:val="000029ED"/>
    <w:rsid w:val="00002A75"/>
    <w:rsid w:val="00002E19"/>
    <w:rsid w:val="00002EFF"/>
    <w:rsid w:val="00002FBD"/>
    <w:rsid w:val="0000314C"/>
    <w:rsid w:val="0000319E"/>
    <w:rsid w:val="000032FD"/>
    <w:rsid w:val="00003494"/>
    <w:rsid w:val="000039BE"/>
    <w:rsid w:val="00003CAB"/>
    <w:rsid w:val="00003DD6"/>
    <w:rsid w:val="000041EA"/>
    <w:rsid w:val="000044CF"/>
    <w:rsid w:val="000046BD"/>
    <w:rsid w:val="000048F2"/>
    <w:rsid w:val="00004953"/>
    <w:rsid w:val="00004B8A"/>
    <w:rsid w:val="00004D39"/>
    <w:rsid w:val="00004EA8"/>
    <w:rsid w:val="00004EEB"/>
    <w:rsid w:val="0000500B"/>
    <w:rsid w:val="00005483"/>
    <w:rsid w:val="00005904"/>
    <w:rsid w:val="00005D7A"/>
    <w:rsid w:val="000060AC"/>
    <w:rsid w:val="000063DB"/>
    <w:rsid w:val="0000648E"/>
    <w:rsid w:val="00006587"/>
    <w:rsid w:val="00006731"/>
    <w:rsid w:val="00006A7A"/>
    <w:rsid w:val="00006C84"/>
    <w:rsid w:val="00006E54"/>
    <w:rsid w:val="00007062"/>
    <w:rsid w:val="000070C1"/>
    <w:rsid w:val="000076AD"/>
    <w:rsid w:val="00007934"/>
    <w:rsid w:val="000079C3"/>
    <w:rsid w:val="00007EDA"/>
    <w:rsid w:val="0001027B"/>
    <w:rsid w:val="000105CC"/>
    <w:rsid w:val="000105F3"/>
    <w:rsid w:val="0001098F"/>
    <w:rsid w:val="00010C36"/>
    <w:rsid w:val="00010C69"/>
    <w:rsid w:val="00010CEF"/>
    <w:rsid w:val="00010EC4"/>
    <w:rsid w:val="000113E1"/>
    <w:rsid w:val="000115A2"/>
    <w:rsid w:val="0001174A"/>
    <w:rsid w:val="00011DAB"/>
    <w:rsid w:val="00012065"/>
    <w:rsid w:val="00012434"/>
    <w:rsid w:val="000128E6"/>
    <w:rsid w:val="00012935"/>
    <w:rsid w:val="000129A9"/>
    <w:rsid w:val="00012B36"/>
    <w:rsid w:val="00012EBF"/>
    <w:rsid w:val="0001313C"/>
    <w:rsid w:val="000135CC"/>
    <w:rsid w:val="000138F4"/>
    <w:rsid w:val="00013C38"/>
    <w:rsid w:val="00013D99"/>
    <w:rsid w:val="00014673"/>
    <w:rsid w:val="00014785"/>
    <w:rsid w:val="000147BC"/>
    <w:rsid w:val="0001482E"/>
    <w:rsid w:val="00014A14"/>
    <w:rsid w:val="00014F1A"/>
    <w:rsid w:val="00014F47"/>
    <w:rsid w:val="000150CC"/>
    <w:rsid w:val="00015180"/>
    <w:rsid w:val="000151CD"/>
    <w:rsid w:val="00015203"/>
    <w:rsid w:val="00015222"/>
    <w:rsid w:val="0001557F"/>
    <w:rsid w:val="00015588"/>
    <w:rsid w:val="00015673"/>
    <w:rsid w:val="00015A1E"/>
    <w:rsid w:val="00015A34"/>
    <w:rsid w:val="00015AF0"/>
    <w:rsid w:val="00015C19"/>
    <w:rsid w:val="00015CE2"/>
    <w:rsid w:val="000160EA"/>
    <w:rsid w:val="000160FB"/>
    <w:rsid w:val="00016352"/>
    <w:rsid w:val="000169F6"/>
    <w:rsid w:val="00016DA9"/>
    <w:rsid w:val="00016DCB"/>
    <w:rsid w:val="00016F1B"/>
    <w:rsid w:val="00016F20"/>
    <w:rsid w:val="0001742C"/>
    <w:rsid w:val="0001749D"/>
    <w:rsid w:val="00017554"/>
    <w:rsid w:val="000176D8"/>
    <w:rsid w:val="00017882"/>
    <w:rsid w:val="00017B86"/>
    <w:rsid w:val="00017CE4"/>
    <w:rsid w:val="00020151"/>
    <w:rsid w:val="00020178"/>
    <w:rsid w:val="000204D2"/>
    <w:rsid w:val="00020709"/>
    <w:rsid w:val="0002077B"/>
    <w:rsid w:val="000207C3"/>
    <w:rsid w:val="00020916"/>
    <w:rsid w:val="000209EC"/>
    <w:rsid w:val="00020E0A"/>
    <w:rsid w:val="00021108"/>
    <w:rsid w:val="00021322"/>
    <w:rsid w:val="0002163A"/>
    <w:rsid w:val="00021D15"/>
    <w:rsid w:val="00021EFB"/>
    <w:rsid w:val="000220F4"/>
    <w:rsid w:val="0002218B"/>
    <w:rsid w:val="00022367"/>
    <w:rsid w:val="0002261E"/>
    <w:rsid w:val="0002289F"/>
    <w:rsid w:val="00022CAB"/>
    <w:rsid w:val="00022CC1"/>
    <w:rsid w:val="00022EDC"/>
    <w:rsid w:val="000233AD"/>
    <w:rsid w:val="000236BF"/>
    <w:rsid w:val="0002395A"/>
    <w:rsid w:val="0002396A"/>
    <w:rsid w:val="00023D80"/>
    <w:rsid w:val="000242D8"/>
    <w:rsid w:val="00024337"/>
    <w:rsid w:val="00024345"/>
    <w:rsid w:val="000248CB"/>
    <w:rsid w:val="00025090"/>
    <w:rsid w:val="000252A8"/>
    <w:rsid w:val="00025421"/>
    <w:rsid w:val="00025555"/>
    <w:rsid w:val="0002580F"/>
    <w:rsid w:val="000258B3"/>
    <w:rsid w:val="00025B2A"/>
    <w:rsid w:val="00025BAE"/>
    <w:rsid w:val="00025CA8"/>
    <w:rsid w:val="00025D65"/>
    <w:rsid w:val="00025E67"/>
    <w:rsid w:val="00025F89"/>
    <w:rsid w:val="00026096"/>
    <w:rsid w:val="000260B7"/>
    <w:rsid w:val="00026544"/>
    <w:rsid w:val="000270E2"/>
    <w:rsid w:val="000274A5"/>
    <w:rsid w:val="0002755D"/>
    <w:rsid w:val="0002766B"/>
    <w:rsid w:val="000276D0"/>
    <w:rsid w:val="000279E4"/>
    <w:rsid w:val="00027AB3"/>
    <w:rsid w:val="00027CF5"/>
    <w:rsid w:val="00027F00"/>
    <w:rsid w:val="000300EB"/>
    <w:rsid w:val="00030184"/>
    <w:rsid w:val="00030350"/>
    <w:rsid w:val="00030513"/>
    <w:rsid w:val="000305FD"/>
    <w:rsid w:val="0003079F"/>
    <w:rsid w:val="0003082B"/>
    <w:rsid w:val="0003092E"/>
    <w:rsid w:val="00030BAC"/>
    <w:rsid w:val="00030CAB"/>
    <w:rsid w:val="00030E4F"/>
    <w:rsid w:val="00030EDB"/>
    <w:rsid w:val="00030EF7"/>
    <w:rsid w:val="000311BE"/>
    <w:rsid w:val="000313D2"/>
    <w:rsid w:val="0003159A"/>
    <w:rsid w:val="00031700"/>
    <w:rsid w:val="000317E3"/>
    <w:rsid w:val="00031C4B"/>
    <w:rsid w:val="000322B5"/>
    <w:rsid w:val="0003276F"/>
    <w:rsid w:val="000327DC"/>
    <w:rsid w:val="00032E84"/>
    <w:rsid w:val="00032F11"/>
    <w:rsid w:val="000330D9"/>
    <w:rsid w:val="00033459"/>
    <w:rsid w:val="000335A0"/>
    <w:rsid w:val="000337A0"/>
    <w:rsid w:val="00033A0B"/>
    <w:rsid w:val="00033BAC"/>
    <w:rsid w:val="00033CB4"/>
    <w:rsid w:val="00033F75"/>
    <w:rsid w:val="00034225"/>
    <w:rsid w:val="000342F3"/>
    <w:rsid w:val="00034649"/>
    <w:rsid w:val="000347E3"/>
    <w:rsid w:val="00034824"/>
    <w:rsid w:val="000349AC"/>
    <w:rsid w:val="00034A67"/>
    <w:rsid w:val="00034EA0"/>
    <w:rsid w:val="00035126"/>
    <w:rsid w:val="00035300"/>
    <w:rsid w:val="00035496"/>
    <w:rsid w:val="000354B5"/>
    <w:rsid w:val="00035A6A"/>
    <w:rsid w:val="000362CF"/>
    <w:rsid w:val="00036508"/>
    <w:rsid w:val="00036585"/>
    <w:rsid w:val="000368A2"/>
    <w:rsid w:val="000369F8"/>
    <w:rsid w:val="00036ABA"/>
    <w:rsid w:val="00036DBC"/>
    <w:rsid w:val="00036E1C"/>
    <w:rsid w:val="00036E60"/>
    <w:rsid w:val="000370B0"/>
    <w:rsid w:val="00037182"/>
    <w:rsid w:val="000371EB"/>
    <w:rsid w:val="000372D6"/>
    <w:rsid w:val="00037714"/>
    <w:rsid w:val="00037807"/>
    <w:rsid w:val="00037A89"/>
    <w:rsid w:val="00037B3B"/>
    <w:rsid w:val="00037BD3"/>
    <w:rsid w:val="00037DD1"/>
    <w:rsid w:val="00040415"/>
    <w:rsid w:val="0004054F"/>
    <w:rsid w:val="00040A6A"/>
    <w:rsid w:val="00040BB7"/>
    <w:rsid w:val="00040C32"/>
    <w:rsid w:val="00040C68"/>
    <w:rsid w:val="00040E73"/>
    <w:rsid w:val="00040F7A"/>
    <w:rsid w:val="00041038"/>
    <w:rsid w:val="00041186"/>
    <w:rsid w:val="000414D1"/>
    <w:rsid w:val="000416BA"/>
    <w:rsid w:val="00041744"/>
    <w:rsid w:val="000418A7"/>
    <w:rsid w:val="00041E28"/>
    <w:rsid w:val="00042026"/>
    <w:rsid w:val="0004206C"/>
    <w:rsid w:val="000422D3"/>
    <w:rsid w:val="00042410"/>
    <w:rsid w:val="000425F2"/>
    <w:rsid w:val="00042CD8"/>
    <w:rsid w:val="00042F5D"/>
    <w:rsid w:val="00043CD3"/>
    <w:rsid w:val="00043E61"/>
    <w:rsid w:val="000441D8"/>
    <w:rsid w:val="00044536"/>
    <w:rsid w:val="0004482C"/>
    <w:rsid w:val="000449D4"/>
    <w:rsid w:val="000449FE"/>
    <w:rsid w:val="00044A4C"/>
    <w:rsid w:val="00044CBD"/>
    <w:rsid w:val="00044D1F"/>
    <w:rsid w:val="00045018"/>
    <w:rsid w:val="000451DC"/>
    <w:rsid w:val="00045380"/>
    <w:rsid w:val="000454E9"/>
    <w:rsid w:val="00045966"/>
    <w:rsid w:val="00045990"/>
    <w:rsid w:val="000459B9"/>
    <w:rsid w:val="000459BC"/>
    <w:rsid w:val="00045C32"/>
    <w:rsid w:val="00045C6F"/>
    <w:rsid w:val="00045CB3"/>
    <w:rsid w:val="00045EFA"/>
    <w:rsid w:val="00046165"/>
    <w:rsid w:val="0004618A"/>
    <w:rsid w:val="000461D9"/>
    <w:rsid w:val="0004672A"/>
    <w:rsid w:val="00046AE7"/>
    <w:rsid w:val="00046E46"/>
    <w:rsid w:val="00046E48"/>
    <w:rsid w:val="00046E8F"/>
    <w:rsid w:val="00046ED9"/>
    <w:rsid w:val="00047122"/>
    <w:rsid w:val="00047204"/>
    <w:rsid w:val="000472B3"/>
    <w:rsid w:val="0004736B"/>
    <w:rsid w:val="000473EB"/>
    <w:rsid w:val="0004787E"/>
    <w:rsid w:val="00047A1B"/>
    <w:rsid w:val="00047DAB"/>
    <w:rsid w:val="00047ECE"/>
    <w:rsid w:val="00047F07"/>
    <w:rsid w:val="00047FD9"/>
    <w:rsid w:val="00050445"/>
    <w:rsid w:val="00050591"/>
    <w:rsid w:val="00050707"/>
    <w:rsid w:val="0005070D"/>
    <w:rsid w:val="000508D3"/>
    <w:rsid w:val="00050A68"/>
    <w:rsid w:val="00050CFD"/>
    <w:rsid w:val="00050FF2"/>
    <w:rsid w:val="00051003"/>
    <w:rsid w:val="00051331"/>
    <w:rsid w:val="0005148B"/>
    <w:rsid w:val="00051553"/>
    <w:rsid w:val="000515D0"/>
    <w:rsid w:val="00051876"/>
    <w:rsid w:val="000518F3"/>
    <w:rsid w:val="00051E0B"/>
    <w:rsid w:val="00051E31"/>
    <w:rsid w:val="00051F1D"/>
    <w:rsid w:val="000525B2"/>
    <w:rsid w:val="0005276D"/>
    <w:rsid w:val="00052A2D"/>
    <w:rsid w:val="00052C6B"/>
    <w:rsid w:val="00052CF6"/>
    <w:rsid w:val="00052E42"/>
    <w:rsid w:val="00052FB1"/>
    <w:rsid w:val="00053193"/>
    <w:rsid w:val="00053232"/>
    <w:rsid w:val="000533B4"/>
    <w:rsid w:val="000535E0"/>
    <w:rsid w:val="00053685"/>
    <w:rsid w:val="0005382F"/>
    <w:rsid w:val="00053A29"/>
    <w:rsid w:val="00053FCF"/>
    <w:rsid w:val="000543DE"/>
    <w:rsid w:val="000547C3"/>
    <w:rsid w:val="000548AE"/>
    <w:rsid w:val="000549F9"/>
    <w:rsid w:val="00054A0B"/>
    <w:rsid w:val="00054BDE"/>
    <w:rsid w:val="00054E11"/>
    <w:rsid w:val="00054F4B"/>
    <w:rsid w:val="00055013"/>
    <w:rsid w:val="00055067"/>
    <w:rsid w:val="00055222"/>
    <w:rsid w:val="00055439"/>
    <w:rsid w:val="00055721"/>
    <w:rsid w:val="00055808"/>
    <w:rsid w:val="00055869"/>
    <w:rsid w:val="0005590C"/>
    <w:rsid w:val="000559BD"/>
    <w:rsid w:val="00055A8C"/>
    <w:rsid w:val="00055BD5"/>
    <w:rsid w:val="00055EBD"/>
    <w:rsid w:val="000561DD"/>
    <w:rsid w:val="0005629E"/>
    <w:rsid w:val="00056438"/>
    <w:rsid w:val="00056694"/>
    <w:rsid w:val="000566E0"/>
    <w:rsid w:val="00056717"/>
    <w:rsid w:val="00056726"/>
    <w:rsid w:val="00056BA2"/>
    <w:rsid w:val="0005724F"/>
    <w:rsid w:val="00057901"/>
    <w:rsid w:val="00057932"/>
    <w:rsid w:val="00057A98"/>
    <w:rsid w:val="00057B6A"/>
    <w:rsid w:val="00060199"/>
    <w:rsid w:val="000602E2"/>
    <w:rsid w:val="0006030E"/>
    <w:rsid w:val="0006071D"/>
    <w:rsid w:val="00060863"/>
    <w:rsid w:val="00060C84"/>
    <w:rsid w:val="00060DC8"/>
    <w:rsid w:val="00060EF8"/>
    <w:rsid w:val="00060F06"/>
    <w:rsid w:val="00061094"/>
    <w:rsid w:val="000614C7"/>
    <w:rsid w:val="00061576"/>
    <w:rsid w:val="00061682"/>
    <w:rsid w:val="000617BB"/>
    <w:rsid w:val="00061CB3"/>
    <w:rsid w:val="00061E1D"/>
    <w:rsid w:val="00061F7C"/>
    <w:rsid w:val="00062264"/>
    <w:rsid w:val="0006243B"/>
    <w:rsid w:val="0006260B"/>
    <w:rsid w:val="00062641"/>
    <w:rsid w:val="00062864"/>
    <w:rsid w:val="00062980"/>
    <w:rsid w:val="00062AE4"/>
    <w:rsid w:val="00062BD1"/>
    <w:rsid w:val="000631CD"/>
    <w:rsid w:val="00063242"/>
    <w:rsid w:val="00063280"/>
    <w:rsid w:val="0006353A"/>
    <w:rsid w:val="0006363E"/>
    <w:rsid w:val="000637B3"/>
    <w:rsid w:val="0006386B"/>
    <w:rsid w:val="000638CC"/>
    <w:rsid w:val="00063A44"/>
    <w:rsid w:val="00063A53"/>
    <w:rsid w:val="00063A9B"/>
    <w:rsid w:val="00063B19"/>
    <w:rsid w:val="00063BFD"/>
    <w:rsid w:val="00063CE4"/>
    <w:rsid w:val="00063D2A"/>
    <w:rsid w:val="00063E8B"/>
    <w:rsid w:val="0006433B"/>
    <w:rsid w:val="0006439E"/>
    <w:rsid w:val="000644B9"/>
    <w:rsid w:val="000645C0"/>
    <w:rsid w:val="00064975"/>
    <w:rsid w:val="00064976"/>
    <w:rsid w:val="00064B88"/>
    <w:rsid w:val="00064EBE"/>
    <w:rsid w:val="00064EEE"/>
    <w:rsid w:val="00064EF7"/>
    <w:rsid w:val="00064F3E"/>
    <w:rsid w:val="00065119"/>
    <w:rsid w:val="00065333"/>
    <w:rsid w:val="000654CC"/>
    <w:rsid w:val="000657F1"/>
    <w:rsid w:val="000660BA"/>
    <w:rsid w:val="0006668D"/>
    <w:rsid w:val="00066843"/>
    <w:rsid w:val="00066BE7"/>
    <w:rsid w:val="00066C96"/>
    <w:rsid w:val="00066FBD"/>
    <w:rsid w:val="000671D9"/>
    <w:rsid w:val="0006759C"/>
    <w:rsid w:val="00067685"/>
    <w:rsid w:val="0006783F"/>
    <w:rsid w:val="000678CE"/>
    <w:rsid w:val="00067928"/>
    <w:rsid w:val="00067962"/>
    <w:rsid w:val="00067B35"/>
    <w:rsid w:val="00067BD4"/>
    <w:rsid w:val="00067DD9"/>
    <w:rsid w:val="00067E65"/>
    <w:rsid w:val="0007016B"/>
    <w:rsid w:val="000702E3"/>
    <w:rsid w:val="0007048E"/>
    <w:rsid w:val="00070CE2"/>
    <w:rsid w:val="00070F3A"/>
    <w:rsid w:val="00071219"/>
    <w:rsid w:val="00071386"/>
    <w:rsid w:val="000716AE"/>
    <w:rsid w:val="00071C59"/>
    <w:rsid w:val="00071F22"/>
    <w:rsid w:val="00072096"/>
    <w:rsid w:val="000720C4"/>
    <w:rsid w:val="0007248F"/>
    <w:rsid w:val="000725FE"/>
    <w:rsid w:val="000726D7"/>
    <w:rsid w:val="00072956"/>
    <w:rsid w:val="00072DF0"/>
    <w:rsid w:val="00072E54"/>
    <w:rsid w:val="00073153"/>
    <w:rsid w:val="00073241"/>
    <w:rsid w:val="000733D2"/>
    <w:rsid w:val="00073737"/>
    <w:rsid w:val="00073862"/>
    <w:rsid w:val="00073C06"/>
    <w:rsid w:val="00073C55"/>
    <w:rsid w:val="00073CA4"/>
    <w:rsid w:val="00073F9C"/>
    <w:rsid w:val="000745A8"/>
    <w:rsid w:val="0007479A"/>
    <w:rsid w:val="000747FD"/>
    <w:rsid w:val="00074877"/>
    <w:rsid w:val="000748CE"/>
    <w:rsid w:val="00074946"/>
    <w:rsid w:val="00074AB4"/>
    <w:rsid w:val="00074D59"/>
    <w:rsid w:val="00074E3F"/>
    <w:rsid w:val="0007515B"/>
    <w:rsid w:val="00075510"/>
    <w:rsid w:val="000757BB"/>
    <w:rsid w:val="0007597B"/>
    <w:rsid w:val="00075D94"/>
    <w:rsid w:val="00075F1D"/>
    <w:rsid w:val="00076088"/>
    <w:rsid w:val="000761F8"/>
    <w:rsid w:val="0007622A"/>
    <w:rsid w:val="00076269"/>
    <w:rsid w:val="0007637A"/>
    <w:rsid w:val="000769B8"/>
    <w:rsid w:val="00076A4B"/>
    <w:rsid w:val="00076B96"/>
    <w:rsid w:val="00076C33"/>
    <w:rsid w:val="00076C96"/>
    <w:rsid w:val="00077245"/>
    <w:rsid w:val="0007739D"/>
    <w:rsid w:val="000773B7"/>
    <w:rsid w:val="000774F1"/>
    <w:rsid w:val="0007787A"/>
    <w:rsid w:val="00077D38"/>
    <w:rsid w:val="00080317"/>
    <w:rsid w:val="000803D3"/>
    <w:rsid w:val="000803D6"/>
    <w:rsid w:val="0008047D"/>
    <w:rsid w:val="0008053E"/>
    <w:rsid w:val="00080569"/>
    <w:rsid w:val="0008061E"/>
    <w:rsid w:val="000807C4"/>
    <w:rsid w:val="00080810"/>
    <w:rsid w:val="0008082B"/>
    <w:rsid w:val="000808EB"/>
    <w:rsid w:val="00080981"/>
    <w:rsid w:val="00080B3B"/>
    <w:rsid w:val="00080C09"/>
    <w:rsid w:val="00080C77"/>
    <w:rsid w:val="00080DA9"/>
    <w:rsid w:val="00080EDD"/>
    <w:rsid w:val="00080EF2"/>
    <w:rsid w:val="00080FAA"/>
    <w:rsid w:val="00081211"/>
    <w:rsid w:val="000812D6"/>
    <w:rsid w:val="00081300"/>
    <w:rsid w:val="00081317"/>
    <w:rsid w:val="0008168C"/>
    <w:rsid w:val="000816DA"/>
    <w:rsid w:val="00081A71"/>
    <w:rsid w:val="00081F61"/>
    <w:rsid w:val="0008221B"/>
    <w:rsid w:val="00082315"/>
    <w:rsid w:val="000825E7"/>
    <w:rsid w:val="000827DB"/>
    <w:rsid w:val="0008288D"/>
    <w:rsid w:val="000829F0"/>
    <w:rsid w:val="000829FE"/>
    <w:rsid w:val="00082C85"/>
    <w:rsid w:val="00082C9F"/>
    <w:rsid w:val="00082EAF"/>
    <w:rsid w:val="00082F98"/>
    <w:rsid w:val="00082FD4"/>
    <w:rsid w:val="000833AF"/>
    <w:rsid w:val="000833ED"/>
    <w:rsid w:val="0008345F"/>
    <w:rsid w:val="000835EA"/>
    <w:rsid w:val="00083D42"/>
    <w:rsid w:val="000840D1"/>
    <w:rsid w:val="00084500"/>
    <w:rsid w:val="0008456A"/>
    <w:rsid w:val="0008468B"/>
    <w:rsid w:val="0008489B"/>
    <w:rsid w:val="00084957"/>
    <w:rsid w:val="000849CF"/>
    <w:rsid w:val="00084AD1"/>
    <w:rsid w:val="00084F48"/>
    <w:rsid w:val="00085AE6"/>
    <w:rsid w:val="00085B68"/>
    <w:rsid w:val="00085BAE"/>
    <w:rsid w:val="00085DD6"/>
    <w:rsid w:val="00085EE9"/>
    <w:rsid w:val="00085F97"/>
    <w:rsid w:val="00086073"/>
    <w:rsid w:val="00086241"/>
    <w:rsid w:val="0008633A"/>
    <w:rsid w:val="0008653F"/>
    <w:rsid w:val="00086566"/>
    <w:rsid w:val="0008657A"/>
    <w:rsid w:val="00086814"/>
    <w:rsid w:val="0008688B"/>
    <w:rsid w:val="00086896"/>
    <w:rsid w:val="00086D31"/>
    <w:rsid w:val="00086E74"/>
    <w:rsid w:val="00087091"/>
    <w:rsid w:val="00087127"/>
    <w:rsid w:val="00087235"/>
    <w:rsid w:val="0008745F"/>
    <w:rsid w:val="000874E5"/>
    <w:rsid w:val="00087767"/>
    <w:rsid w:val="00087C05"/>
    <w:rsid w:val="00087DA0"/>
    <w:rsid w:val="00090120"/>
    <w:rsid w:val="00090135"/>
    <w:rsid w:val="000905CC"/>
    <w:rsid w:val="0009068F"/>
    <w:rsid w:val="00090822"/>
    <w:rsid w:val="00090EBA"/>
    <w:rsid w:val="00091014"/>
    <w:rsid w:val="000911FE"/>
    <w:rsid w:val="00091395"/>
    <w:rsid w:val="0009152A"/>
    <w:rsid w:val="000915AE"/>
    <w:rsid w:val="0009176A"/>
    <w:rsid w:val="00091CE9"/>
    <w:rsid w:val="00091D1C"/>
    <w:rsid w:val="0009251C"/>
    <w:rsid w:val="000926CB"/>
    <w:rsid w:val="00092760"/>
    <w:rsid w:val="0009277F"/>
    <w:rsid w:val="00092B75"/>
    <w:rsid w:val="00092D65"/>
    <w:rsid w:val="00092F01"/>
    <w:rsid w:val="0009316F"/>
    <w:rsid w:val="00093184"/>
    <w:rsid w:val="000937C3"/>
    <w:rsid w:val="000937CC"/>
    <w:rsid w:val="00093828"/>
    <w:rsid w:val="00093CA3"/>
    <w:rsid w:val="00093CC0"/>
    <w:rsid w:val="00093ED5"/>
    <w:rsid w:val="00093F39"/>
    <w:rsid w:val="00093F5F"/>
    <w:rsid w:val="00093FF9"/>
    <w:rsid w:val="0009404B"/>
    <w:rsid w:val="00094160"/>
    <w:rsid w:val="000941FD"/>
    <w:rsid w:val="0009427B"/>
    <w:rsid w:val="0009430F"/>
    <w:rsid w:val="00094354"/>
    <w:rsid w:val="00094541"/>
    <w:rsid w:val="00094868"/>
    <w:rsid w:val="00094CCE"/>
    <w:rsid w:val="00094D74"/>
    <w:rsid w:val="0009555B"/>
    <w:rsid w:val="000955BB"/>
    <w:rsid w:val="00095762"/>
    <w:rsid w:val="00095846"/>
    <w:rsid w:val="00095855"/>
    <w:rsid w:val="000959AC"/>
    <w:rsid w:val="00095E7A"/>
    <w:rsid w:val="00095ECC"/>
    <w:rsid w:val="000962FC"/>
    <w:rsid w:val="000963A8"/>
    <w:rsid w:val="00096711"/>
    <w:rsid w:val="00096AAB"/>
    <w:rsid w:val="00096E20"/>
    <w:rsid w:val="0009715D"/>
    <w:rsid w:val="000973E8"/>
    <w:rsid w:val="000974EA"/>
    <w:rsid w:val="0009778E"/>
    <w:rsid w:val="0009788E"/>
    <w:rsid w:val="00097A0B"/>
    <w:rsid w:val="00097CDF"/>
    <w:rsid w:val="000A05F7"/>
    <w:rsid w:val="000A0636"/>
    <w:rsid w:val="000A0675"/>
    <w:rsid w:val="000A071B"/>
    <w:rsid w:val="000A090F"/>
    <w:rsid w:val="000A0A65"/>
    <w:rsid w:val="000A0E2D"/>
    <w:rsid w:val="000A0EA4"/>
    <w:rsid w:val="000A10D9"/>
    <w:rsid w:val="000A1292"/>
    <w:rsid w:val="000A139A"/>
    <w:rsid w:val="000A148F"/>
    <w:rsid w:val="000A14FB"/>
    <w:rsid w:val="000A1CBA"/>
    <w:rsid w:val="000A1E70"/>
    <w:rsid w:val="000A1FA2"/>
    <w:rsid w:val="000A1FDD"/>
    <w:rsid w:val="000A1FEA"/>
    <w:rsid w:val="000A20C5"/>
    <w:rsid w:val="000A21C9"/>
    <w:rsid w:val="000A25F0"/>
    <w:rsid w:val="000A27F9"/>
    <w:rsid w:val="000A28E0"/>
    <w:rsid w:val="000A2938"/>
    <w:rsid w:val="000A2AAD"/>
    <w:rsid w:val="000A2B1D"/>
    <w:rsid w:val="000A2CA2"/>
    <w:rsid w:val="000A3284"/>
    <w:rsid w:val="000A391B"/>
    <w:rsid w:val="000A3925"/>
    <w:rsid w:val="000A3DB6"/>
    <w:rsid w:val="000A3ED6"/>
    <w:rsid w:val="000A3FBC"/>
    <w:rsid w:val="000A3FE6"/>
    <w:rsid w:val="000A4068"/>
    <w:rsid w:val="000A41BE"/>
    <w:rsid w:val="000A4380"/>
    <w:rsid w:val="000A4426"/>
    <w:rsid w:val="000A4556"/>
    <w:rsid w:val="000A49FE"/>
    <w:rsid w:val="000A4AFF"/>
    <w:rsid w:val="000A4BE2"/>
    <w:rsid w:val="000A558C"/>
    <w:rsid w:val="000A5599"/>
    <w:rsid w:val="000A58AA"/>
    <w:rsid w:val="000A5A28"/>
    <w:rsid w:val="000A5AAB"/>
    <w:rsid w:val="000A5CC8"/>
    <w:rsid w:val="000A5CCF"/>
    <w:rsid w:val="000A5CE5"/>
    <w:rsid w:val="000A5F96"/>
    <w:rsid w:val="000A61C9"/>
    <w:rsid w:val="000A6369"/>
    <w:rsid w:val="000A63CE"/>
    <w:rsid w:val="000A6479"/>
    <w:rsid w:val="000A64D8"/>
    <w:rsid w:val="000A6749"/>
    <w:rsid w:val="000A6A98"/>
    <w:rsid w:val="000A6BF1"/>
    <w:rsid w:val="000A6CEA"/>
    <w:rsid w:val="000A6EF6"/>
    <w:rsid w:val="000A6EF7"/>
    <w:rsid w:val="000A70CE"/>
    <w:rsid w:val="000A7423"/>
    <w:rsid w:val="000A759D"/>
    <w:rsid w:val="000A7617"/>
    <w:rsid w:val="000A7650"/>
    <w:rsid w:val="000A79DE"/>
    <w:rsid w:val="000A7A3F"/>
    <w:rsid w:val="000A7A86"/>
    <w:rsid w:val="000A7AA4"/>
    <w:rsid w:val="000A7F50"/>
    <w:rsid w:val="000A7F73"/>
    <w:rsid w:val="000A7FD9"/>
    <w:rsid w:val="000B0086"/>
    <w:rsid w:val="000B0403"/>
    <w:rsid w:val="000B0549"/>
    <w:rsid w:val="000B0855"/>
    <w:rsid w:val="000B0980"/>
    <w:rsid w:val="000B0A9F"/>
    <w:rsid w:val="000B0DD9"/>
    <w:rsid w:val="000B0E95"/>
    <w:rsid w:val="000B0F1E"/>
    <w:rsid w:val="000B1123"/>
    <w:rsid w:val="000B11A2"/>
    <w:rsid w:val="000B11D7"/>
    <w:rsid w:val="000B133F"/>
    <w:rsid w:val="000B1406"/>
    <w:rsid w:val="000B15BE"/>
    <w:rsid w:val="000B1649"/>
    <w:rsid w:val="000B18E1"/>
    <w:rsid w:val="000B1A0B"/>
    <w:rsid w:val="000B1A72"/>
    <w:rsid w:val="000B1B6A"/>
    <w:rsid w:val="000B1BF3"/>
    <w:rsid w:val="000B1E22"/>
    <w:rsid w:val="000B1F9B"/>
    <w:rsid w:val="000B2965"/>
    <w:rsid w:val="000B29D2"/>
    <w:rsid w:val="000B2B80"/>
    <w:rsid w:val="000B2D60"/>
    <w:rsid w:val="000B2D72"/>
    <w:rsid w:val="000B2DD5"/>
    <w:rsid w:val="000B2E63"/>
    <w:rsid w:val="000B317E"/>
    <w:rsid w:val="000B327B"/>
    <w:rsid w:val="000B358D"/>
    <w:rsid w:val="000B36EC"/>
    <w:rsid w:val="000B3708"/>
    <w:rsid w:val="000B3DD7"/>
    <w:rsid w:val="000B3E2A"/>
    <w:rsid w:val="000B3E85"/>
    <w:rsid w:val="000B404D"/>
    <w:rsid w:val="000B4379"/>
    <w:rsid w:val="000B43BF"/>
    <w:rsid w:val="000B43F6"/>
    <w:rsid w:val="000B46A9"/>
    <w:rsid w:val="000B4831"/>
    <w:rsid w:val="000B48EF"/>
    <w:rsid w:val="000B4935"/>
    <w:rsid w:val="000B4B89"/>
    <w:rsid w:val="000B5005"/>
    <w:rsid w:val="000B54C3"/>
    <w:rsid w:val="000B5534"/>
    <w:rsid w:val="000B559A"/>
    <w:rsid w:val="000B55B4"/>
    <w:rsid w:val="000B579D"/>
    <w:rsid w:val="000B5926"/>
    <w:rsid w:val="000B5991"/>
    <w:rsid w:val="000B5A25"/>
    <w:rsid w:val="000B5AD5"/>
    <w:rsid w:val="000B5BCD"/>
    <w:rsid w:val="000B5C1F"/>
    <w:rsid w:val="000B5EB0"/>
    <w:rsid w:val="000B5F45"/>
    <w:rsid w:val="000B5FD1"/>
    <w:rsid w:val="000B65F0"/>
    <w:rsid w:val="000B6A0E"/>
    <w:rsid w:val="000B6D58"/>
    <w:rsid w:val="000B7002"/>
    <w:rsid w:val="000B7450"/>
    <w:rsid w:val="000B74D3"/>
    <w:rsid w:val="000B778D"/>
    <w:rsid w:val="000B7836"/>
    <w:rsid w:val="000B78CE"/>
    <w:rsid w:val="000B7BEB"/>
    <w:rsid w:val="000C0046"/>
    <w:rsid w:val="000C03AA"/>
    <w:rsid w:val="000C0593"/>
    <w:rsid w:val="000C06C8"/>
    <w:rsid w:val="000C07AE"/>
    <w:rsid w:val="000C09EA"/>
    <w:rsid w:val="000C0B5C"/>
    <w:rsid w:val="000C0E91"/>
    <w:rsid w:val="000C0EF5"/>
    <w:rsid w:val="000C12FF"/>
    <w:rsid w:val="000C149D"/>
    <w:rsid w:val="000C1A18"/>
    <w:rsid w:val="000C1CD2"/>
    <w:rsid w:val="000C1DB2"/>
    <w:rsid w:val="000C223C"/>
    <w:rsid w:val="000C22CD"/>
    <w:rsid w:val="000C2448"/>
    <w:rsid w:val="000C2682"/>
    <w:rsid w:val="000C2695"/>
    <w:rsid w:val="000C271F"/>
    <w:rsid w:val="000C27CE"/>
    <w:rsid w:val="000C2850"/>
    <w:rsid w:val="000C2972"/>
    <w:rsid w:val="000C2B11"/>
    <w:rsid w:val="000C2C29"/>
    <w:rsid w:val="000C2EB8"/>
    <w:rsid w:val="000C2EEF"/>
    <w:rsid w:val="000C2EFA"/>
    <w:rsid w:val="000C3065"/>
    <w:rsid w:val="000C3510"/>
    <w:rsid w:val="000C3773"/>
    <w:rsid w:val="000C393F"/>
    <w:rsid w:val="000C414A"/>
    <w:rsid w:val="000C4212"/>
    <w:rsid w:val="000C43AB"/>
    <w:rsid w:val="000C4674"/>
    <w:rsid w:val="000C480E"/>
    <w:rsid w:val="000C4DD5"/>
    <w:rsid w:val="000C4E76"/>
    <w:rsid w:val="000C5454"/>
    <w:rsid w:val="000C5677"/>
    <w:rsid w:val="000C56E9"/>
    <w:rsid w:val="000C5719"/>
    <w:rsid w:val="000C5876"/>
    <w:rsid w:val="000C5ADA"/>
    <w:rsid w:val="000C5E3C"/>
    <w:rsid w:val="000C6338"/>
    <w:rsid w:val="000C68A4"/>
    <w:rsid w:val="000C6A55"/>
    <w:rsid w:val="000C76D0"/>
    <w:rsid w:val="000C77B5"/>
    <w:rsid w:val="000C7908"/>
    <w:rsid w:val="000C7BF7"/>
    <w:rsid w:val="000C7EFE"/>
    <w:rsid w:val="000D0380"/>
    <w:rsid w:val="000D05F3"/>
    <w:rsid w:val="000D0628"/>
    <w:rsid w:val="000D07BC"/>
    <w:rsid w:val="000D0875"/>
    <w:rsid w:val="000D08A7"/>
    <w:rsid w:val="000D09F6"/>
    <w:rsid w:val="000D0C73"/>
    <w:rsid w:val="000D111D"/>
    <w:rsid w:val="000D1393"/>
    <w:rsid w:val="000D1428"/>
    <w:rsid w:val="000D1460"/>
    <w:rsid w:val="000D160B"/>
    <w:rsid w:val="000D19CC"/>
    <w:rsid w:val="000D1D1F"/>
    <w:rsid w:val="000D1EB1"/>
    <w:rsid w:val="000D1ED7"/>
    <w:rsid w:val="000D1F26"/>
    <w:rsid w:val="000D28DE"/>
    <w:rsid w:val="000D2B20"/>
    <w:rsid w:val="000D2B9D"/>
    <w:rsid w:val="000D2BD6"/>
    <w:rsid w:val="000D2C31"/>
    <w:rsid w:val="000D2CC1"/>
    <w:rsid w:val="000D2EF6"/>
    <w:rsid w:val="000D313A"/>
    <w:rsid w:val="000D33B1"/>
    <w:rsid w:val="000D37B6"/>
    <w:rsid w:val="000D3A74"/>
    <w:rsid w:val="000D3AF4"/>
    <w:rsid w:val="000D3C2D"/>
    <w:rsid w:val="000D3C3D"/>
    <w:rsid w:val="000D3D30"/>
    <w:rsid w:val="000D3D8F"/>
    <w:rsid w:val="000D3EE6"/>
    <w:rsid w:val="000D43B2"/>
    <w:rsid w:val="000D44A7"/>
    <w:rsid w:val="000D4547"/>
    <w:rsid w:val="000D4DE2"/>
    <w:rsid w:val="000D4F3D"/>
    <w:rsid w:val="000D505D"/>
    <w:rsid w:val="000D522A"/>
    <w:rsid w:val="000D536A"/>
    <w:rsid w:val="000D5808"/>
    <w:rsid w:val="000D5A58"/>
    <w:rsid w:val="000D5CE0"/>
    <w:rsid w:val="000D5EAD"/>
    <w:rsid w:val="000D61F7"/>
    <w:rsid w:val="000D6294"/>
    <w:rsid w:val="000D645D"/>
    <w:rsid w:val="000D64E8"/>
    <w:rsid w:val="000D6585"/>
    <w:rsid w:val="000D681D"/>
    <w:rsid w:val="000D68C1"/>
    <w:rsid w:val="000D690E"/>
    <w:rsid w:val="000D692E"/>
    <w:rsid w:val="000D69E1"/>
    <w:rsid w:val="000D6E97"/>
    <w:rsid w:val="000D6EEE"/>
    <w:rsid w:val="000D6F32"/>
    <w:rsid w:val="000D6F3F"/>
    <w:rsid w:val="000D70F6"/>
    <w:rsid w:val="000D718B"/>
    <w:rsid w:val="000D7207"/>
    <w:rsid w:val="000D7232"/>
    <w:rsid w:val="000D72B5"/>
    <w:rsid w:val="000D734E"/>
    <w:rsid w:val="000D7845"/>
    <w:rsid w:val="000D79C2"/>
    <w:rsid w:val="000D7A5B"/>
    <w:rsid w:val="000D7D97"/>
    <w:rsid w:val="000D7DD9"/>
    <w:rsid w:val="000D7E49"/>
    <w:rsid w:val="000E0075"/>
    <w:rsid w:val="000E07B2"/>
    <w:rsid w:val="000E07D6"/>
    <w:rsid w:val="000E084D"/>
    <w:rsid w:val="000E084E"/>
    <w:rsid w:val="000E086C"/>
    <w:rsid w:val="000E0B22"/>
    <w:rsid w:val="000E1335"/>
    <w:rsid w:val="000E1498"/>
    <w:rsid w:val="000E15B9"/>
    <w:rsid w:val="000E201E"/>
    <w:rsid w:val="000E220E"/>
    <w:rsid w:val="000E232D"/>
    <w:rsid w:val="000E2366"/>
    <w:rsid w:val="000E23B9"/>
    <w:rsid w:val="000E2526"/>
    <w:rsid w:val="000E2771"/>
    <w:rsid w:val="000E2C99"/>
    <w:rsid w:val="000E2D33"/>
    <w:rsid w:val="000E2F71"/>
    <w:rsid w:val="000E2F91"/>
    <w:rsid w:val="000E3153"/>
    <w:rsid w:val="000E33B1"/>
    <w:rsid w:val="000E3585"/>
    <w:rsid w:val="000E378C"/>
    <w:rsid w:val="000E37B1"/>
    <w:rsid w:val="000E3B03"/>
    <w:rsid w:val="000E3FBA"/>
    <w:rsid w:val="000E4133"/>
    <w:rsid w:val="000E4153"/>
    <w:rsid w:val="000E4297"/>
    <w:rsid w:val="000E429F"/>
    <w:rsid w:val="000E47F5"/>
    <w:rsid w:val="000E49FC"/>
    <w:rsid w:val="000E4A3A"/>
    <w:rsid w:val="000E4C1E"/>
    <w:rsid w:val="000E4CC4"/>
    <w:rsid w:val="000E4D11"/>
    <w:rsid w:val="000E4D9F"/>
    <w:rsid w:val="000E4F31"/>
    <w:rsid w:val="000E4F7C"/>
    <w:rsid w:val="000E5063"/>
    <w:rsid w:val="000E50EB"/>
    <w:rsid w:val="000E5189"/>
    <w:rsid w:val="000E51C1"/>
    <w:rsid w:val="000E5497"/>
    <w:rsid w:val="000E5641"/>
    <w:rsid w:val="000E5AAD"/>
    <w:rsid w:val="000E5B61"/>
    <w:rsid w:val="000E5B7E"/>
    <w:rsid w:val="000E5DE9"/>
    <w:rsid w:val="000E5E08"/>
    <w:rsid w:val="000E5FF6"/>
    <w:rsid w:val="000E6150"/>
    <w:rsid w:val="000E62DC"/>
    <w:rsid w:val="000E62FA"/>
    <w:rsid w:val="000E63BE"/>
    <w:rsid w:val="000E6414"/>
    <w:rsid w:val="000E6456"/>
    <w:rsid w:val="000E64F2"/>
    <w:rsid w:val="000E674F"/>
    <w:rsid w:val="000E6808"/>
    <w:rsid w:val="000E69D6"/>
    <w:rsid w:val="000E6A05"/>
    <w:rsid w:val="000E6AC8"/>
    <w:rsid w:val="000E6B18"/>
    <w:rsid w:val="000E6F62"/>
    <w:rsid w:val="000E72FE"/>
    <w:rsid w:val="000E755A"/>
    <w:rsid w:val="000E7602"/>
    <w:rsid w:val="000E779D"/>
    <w:rsid w:val="000E7AC4"/>
    <w:rsid w:val="000E7B73"/>
    <w:rsid w:val="000E7BCE"/>
    <w:rsid w:val="000F00D9"/>
    <w:rsid w:val="000F04C6"/>
    <w:rsid w:val="000F0508"/>
    <w:rsid w:val="000F0660"/>
    <w:rsid w:val="000F0E53"/>
    <w:rsid w:val="000F11DA"/>
    <w:rsid w:val="000F1447"/>
    <w:rsid w:val="000F1457"/>
    <w:rsid w:val="000F1799"/>
    <w:rsid w:val="000F17BC"/>
    <w:rsid w:val="000F18FF"/>
    <w:rsid w:val="000F1960"/>
    <w:rsid w:val="000F1A37"/>
    <w:rsid w:val="000F1B4C"/>
    <w:rsid w:val="000F1B6B"/>
    <w:rsid w:val="000F1CFB"/>
    <w:rsid w:val="000F1F9F"/>
    <w:rsid w:val="000F2210"/>
    <w:rsid w:val="000F22F9"/>
    <w:rsid w:val="000F22FA"/>
    <w:rsid w:val="000F27B1"/>
    <w:rsid w:val="000F28D6"/>
    <w:rsid w:val="000F2920"/>
    <w:rsid w:val="000F2A33"/>
    <w:rsid w:val="000F2C9A"/>
    <w:rsid w:val="000F2EBA"/>
    <w:rsid w:val="000F3062"/>
    <w:rsid w:val="000F311E"/>
    <w:rsid w:val="000F33D5"/>
    <w:rsid w:val="000F36E8"/>
    <w:rsid w:val="000F37C9"/>
    <w:rsid w:val="000F384C"/>
    <w:rsid w:val="000F3A97"/>
    <w:rsid w:val="000F3DEB"/>
    <w:rsid w:val="000F402E"/>
    <w:rsid w:val="000F4511"/>
    <w:rsid w:val="000F48DA"/>
    <w:rsid w:val="000F494B"/>
    <w:rsid w:val="000F4DA7"/>
    <w:rsid w:val="000F4FEF"/>
    <w:rsid w:val="000F5040"/>
    <w:rsid w:val="000F5190"/>
    <w:rsid w:val="000F52EF"/>
    <w:rsid w:val="000F5602"/>
    <w:rsid w:val="000F5611"/>
    <w:rsid w:val="000F5ADB"/>
    <w:rsid w:val="000F5B6E"/>
    <w:rsid w:val="000F5D0B"/>
    <w:rsid w:val="000F5DD3"/>
    <w:rsid w:val="000F6365"/>
    <w:rsid w:val="000F66B1"/>
    <w:rsid w:val="000F693D"/>
    <w:rsid w:val="000F6A01"/>
    <w:rsid w:val="000F6BF2"/>
    <w:rsid w:val="000F6C62"/>
    <w:rsid w:val="000F6D2B"/>
    <w:rsid w:val="000F6D70"/>
    <w:rsid w:val="000F7016"/>
    <w:rsid w:val="000F73B4"/>
    <w:rsid w:val="000F7793"/>
    <w:rsid w:val="000F781F"/>
    <w:rsid w:val="000F78A8"/>
    <w:rsid w:val="000F7AAA"/>
    <w:rsid w:val="000F7B2C"/>
    <w:rsid w:val="000F7B5D"/>
    <w:rsid w:val="000F7BA9"/>
    <w:rsid w:val="000F7C2C"/>
    <w:rsid w:val="000F7CE2"/>
    <w:rsid w:val="000F7EA2"/>
    <w:rsid w:val="0010043B"/>
    <w:rsid w:val="00100669"/>
    <w:rsid w:val="00100A79"/>
    <w:rsid w:val="00100B87"/>
    <w:rsid w:val="00100BA1"/>
    <w:rsid w:val="00100BB5"/>
    <w:rsid w:val="00100C7C"/>
    <w:rsid w:val="00100D10"/>
    <w:rsid w:val="00100F41"/>
    <w:rsid w:val="0010152D"/>
    <w:rsid w:val="001018DB"/>
    <w:rsid w:val="00101C04"/>
    <w:rsid w:val="00101FC0"/>
    <w:rsid w:val="00102019"/>
    <w:rsid w:val="0010207C"/>
    <w:rsid w:val="0010261E"/>
    <w:rsid w:val="0010286E"/>
    <w:rsid w:val="00102C34"/>
    <w:rsid w:val="00102EE5"/>
    <w:rsid w:val="00102F45"/>
    <w:rsid w:val="0010313F"/>
    <w:rsid w:val="0010327A"/>
    <w:rsid w:val="0010332B"/>
    <w:rsid w:val="001035CC"/>
    <w:rsid w:val="00103672"/>
    <w:rsid w:val="0010368B"/>
    <w:rsid w:val="00103E5B"/>
    <w:rsid w:val="00103F37"/>
    <w:rsid w:val="001042C8"/>
    <w:rsid w:val="00104451"/>
    <w:rsid w:val="001047E4"/>
    <w:rsid w:val="0010493C"/>
    <w:rsid w:val="00104A1F"/>
    <w:rsid w:val="00104B96"/>
    <w:rsid w:val="00104BEE"/>
    <w:rsid w:val="00104CE9"/>
    <w:rsid w:val="00104DF6"/>
    <w:rsid w:val="00104F27"/>
    <w:rsid w:val="00105303"/>
    <w:rsid w:val="00105491"/>
    <w:rsid w:val="001054C8"/>
    <w:rsid w:val="001056FD"/>
    <w:rsid w:val="0010572A"/>
    <w:rsid w:val="00105A93"/>
    <w:rsid w:val="00105ACE"/>
    <w:rsid w:val="00105C9B"/>
    <w:rsid w:val="00105D2C"/>
    <w:rsid w:val="00105DDC"/>
    <w:rsid w:val="00105ECD"/>
    <w:rsid w:val="0010624E"/>
    <w:rsid w:val="0010638A"/>
    <w:rsid w:val="00106608"/>
    <w:rsid w:val="00106790"/>
    <w:rsid w:val="00106825"/>
    <w:rsid w:val="00106860"/>
    <w:rsid w:val="00106A17"/>
    <w:rsid w:val="00106BD2"/>
    <w:rsid w:val="00106E6C"/>
    <w:rsid w:val="00106F9A"/>
    <w:rsid w:val="0010752C"/>
    <w:rsid w:val="001075E3"/>
    <w:rsid w:val="00107685"/>
    <w:rsid w:val="00107941"/>
    <w:rsid w:val="001079E6"/>
    <w:rsid w:val="00107E78"/>
    <w:rsid w:val="00107E93"/>
    <w:rsid w:val="00107F21"/>
    <w:rsid w:val="001100EF"/>
    <w:rsid w:val="001103A9"/>
    <w:rsid w:val="001108C0"/>
    <w:rsid w:val="00110A07"/>
    <w:rsid w:val="00110AC7"/>
    <w:rsid w:val="00110B81"/>
    <w:rsid w:val="00110B8A"/>
    <w:rsid w:val="00110EA0"/>
    <w:rsid w:val="00111039"/>
    <w:rsid w:val="00111818"/>
    <w:rsid w:val="00111883"/>
    <w:rsid w:val="00111B30"/>
    <w:rsid w:val="00111D9C"/>
    <w:rsid w:val="0011205C"/>
    <w:rsid w:val="001121A5"/>
    <w:rsid w:val="00112285"/>
    <w:rsid w:val="0011234D"/>
    <w:rsid w:val="001125C7"/>
    <w:rsid w:val="00112813"/>
    <w:rsid w:val="001128ED"/>
    <w:rsid w:val="00112B11"/>
    <w:rsid w:val="00112F9C"/>
    <w:rsid w:val="00113192"/>
    <w:rsid w:val="00113194"/>
    <w:rsid w:val="0011349C"/>
    <w:rsid w:val="001135C6"/>
    <w:rsid w:val="00113669"/>
    <w:rsid w:val="00113706"/>
    <w:rsid w:val="0011387D"/>
    <w:rsid w:val="00113984"/>
    <w:rsid w:val="0011399E"/>
    <w:rsid w:val="00113A46"/>
    <w:rsid w:val="00113A61"/>
    <w:rsid w:val="00113E8A"/>
    <w:rsid w:val="00113F26"/>
    <w:rsid w:val="0011402B"/>
    <w:rsid w:val="00114152"/>
    <w:rsid w:val="00114170"/>
    <w:rsid w:val="001143BF"/>
    <w:rsid w:val="0011473A"/>
    <w:rsid w:val="0011473B"/>
    <w:rsid w:val="001147BD"/>
    <w:rsid w:val="00114894"/>
    <w:rsid w:val="001149BF"/>
    <w:rsid w:val="00114FC8"/>
    <w:rsid w:val="00115137"/>
    <w:rsid w:val="001152D1"/>
    <w:rsid w:val="00115373"/>
    <w:rsid w:val="00115635"/>
    <w:rsid w:val="0011582C"/>
    <w:rsid w:val="00115A1D"/>
    <w:rsid w:val="00115BBB"/>
    <w:rsid w:val="00115C49"/>
    <w:rsid w:val="001161FC"/>
    <w:rsid w:val="00116229"/>
    <w:rsid w:val="001167AC"/>
    <w:rsid w:val="001169AB"/>
    <w:rsid w:val="00116ADB"/>
    <w:rsid w:val="00116AE9"/>
    <w:rsid w:val="00116DF9"/>
    <w:rsid w:val="00117593"/>
    <w:rsid w:val="001177B8"/>
    <w:rsid w:val="00117B56"/>
    <w:rsid w:val="00117B61"/>
    <w:rsid w:val="00117D00"/>
    <w:rsid w:val="00117DB1"/>
    <w:rsid w:val="00117E2F"/>
    <w:rsid w:val="00120067"/>
    <w:rsid w:val="001200EF"/>
    <w:rsid w:val="00120202"/>
    <w:rsid w:val="0012020A"/>
    <w:rsid w:val="00120514"/>
    <w:rsid w:val="0012066A"/>
    <w:rsid w:val="00120770"/>
    <w:rsid w:val="001207E3"/>
    <w:rsid w:val="00120B16"/>
    <w:rsid w:val="00120C44"/>
    <w:rsid w:val="001211F1"/>
    <w:rsid w:val="001212DD"/>
    <w:rsid w:val="00121329"/>
    <w:rsid w:val="001213F6"/>
    <w:rsid w:val="001214EB"/>
    <w:rsid w:val="001218D8"/>
    <w:rsid w:val="0012192A"/>
    <w:rsid w:val="00121A3C"/>
    <w:rsid w:val="00121C8C"/>
    <w:rsid w:val="00121FB6"/>
    <w:rsid w:val="00122024"/>
    <w:rsid w:val="001220A7"/>
    <w:rsid w:val="001220BE"/>
    <w:rsid w:val="00122161"/>
    <w:rsid w:val="00122244"/>
    <w:rsid w:val="0012250D"/>
    <w:rsid w:val="00122551"/>
    <w:rsid w:val="001226CD"/>
    <w:rsid w:val="001228E1"/>
    <w:rsid w:val="0012297F"/>
    <w:rsid w:val="00122985"/>
    <w:rsid w:val="00122AA6"/>
    <w:rsid w:val="00122B21"/>
    <w:rsid w:val="00122DD0"/>
    <w:rsid w:val="0012323D"/>
    <w:rsid w:val="00123722"/>
    <w:rsid w:val="00123780"/>
    <w:rsid w:val="0012390C"/>
    <w:rsid w:val="00123951"/>
    <w:rsid w:val="00123D25"/>
    <w:rsid w:val="00123D3D"/>
    <w:rsid w:val="00123F17"/>
    <w:rsid w:val="00123F45"/>
    <w:rsid w:val="00123FED"/>
    <w:rsid w:val="00123FF3"/>
    <w:rsid w:val="0012401A"/>
    <w:rsid w:val="001240F4"/>
    <w:rsid w:val="00124192"/>
    <w:rsid w:val="001241D0"/>
    <w:rsid w:val="001241F1"/>
    <w:rsid w:val="001243A5"/>
    <w:rsid w:val="00124419"/>
    <w:rsid w:val="001245CF"/>
    <w:rsid w:val="0012466C"/>
    <w:rsid w:val="001247E9"/>
    <w:rsid w:val="001248BB"/>
    <w:rsid w:val="001248FB"/>
    <w:rsid w:val="001249BA"/>
    <w:rsid w:val="00124A84"/>
    <w:rsid w:val="00124B79"/>
    <w:rsid w:val="00124C9E"/>
    <w:rsid w:val="00124CF3"/>
    <w:rsid w:val="00124D31"/>
    <w:rsid w:val="001250A7"/>
    <w:rsid w:val="0012518A"/>
    <w:rsid w:val="00125339"/>
    <w:rsid w:val="00125518"/>
    <w:rsid w:val="0012559E"/>
    <w:rsid w:val="0012560F"/>
    <w:rsid w:val="00125A74"/>
    <w:rsid w:val="00125C22"/>
    <w:rsid w:val="00125C41"/>
    <w:rsid w:val="00125E84"/>
    <w:rsid w:val="001265BC"/>
    <w:rsid w:val="00126610"/>
    <w:rsid w:val="00126637"/>
    <w:rsid w:val="001266FF"/>
    <w:rsid w:val="00126701"/>
    <w:rsid w:val="001269A1"/>
    <w:rsid w:val="00126DB9"/>
    <w:rsid w:val="00127B91"/>
    <w:rsid w:val="00127C9A"/>
    <w:rsid w:val="00127D58"/>
    <w:rsid w:val="00127E9C"/>
    <w:rsid w:val="00127EC8"/>
    <w:rsid w:val="001301D9"/>
    <w:rsid w:val="001304A7"/>
    <w:rsid w:val="00130779"/>
    <w:rsid w:val="0013095A"/>
    <w:rsid w:val="00130FCB"/>
    <w:rsid w:val="0013141D"/>
    <w:rsid w:val="00131597"/>
    <w:rsid w:val="0013179D"/>
    <w:rsid w:val="001317B7"/>
    <w:rsid w:val="00131BAC"/>
    <w:rsid w:val="001321F7"/>
    <w:rsid w:val="001322BC"/>
    <w:rsid w:val="00132395"/>
    <w:rsid w:val="00132549"/>
    <w:rsid w:val="00132685"/>
    <w:rsid w:val="00132A2F"/>
    <w:rsid w:val="00132BD7"/>
    <w:rsid w:val="00132CD9"/>
    <w:rsid w:val="00132D5E"/>
    <w:rsid w:val="00132E80"/>
    <w:rsid w:val="00132F82"/>
    <w:rsid w:val="001335B5"/>
    <w:rsid w:val="001335FC"/>
    <w:rsid w:val="001336AD"/>
    <w:rsid w:val="0013377F"/>
    <w:rsid w:val="0013382C"/>
    <w:rsid w:val="00133862"/>
    <w:rsid w:val="00133B77"/>
    <w:rsid w:val="00133C8C"/>
    <w:rsid w:val="001341CD"/>
    <w:rsid w:val="001342A7"/>
    <w:rsid w:val="001343AC"/>
    <w:rsid w:val="00134598"/>
    <w:rsid w:val="00134673"/>
    <w:rsid w:val="00134689"/>
    <w:rsid w:val="0013489E"/>
    <w:rsid w:val="0013495A"/>
    <w:rsid w:val="001349F5"/>
    <w:rsid w:val="00134A79"/>
    <w:rsid w:val="00134D21"/>
    <w:rsid w:val="00134D84"/>
    <w:rsid w:val="00134F8A"/>
    <w:rsid w:val="001352DE"/>
    <w:rsid w:val="001353CE"/>
    <w:rsid w:val="00135468"/>
    <w:rsid w:val="00135507"/>
    <w:rsid w:val="001355C5"/>
    <w:rsid w:val="00135631"/>
    <w:rsid w:val="001356AA"/>
    <w:rsid w:val="001357B7"/>
    <w:rsid w:val="00135934"/>
    <w:rsid w:val="001359CE"/>
    <w:rsid w:val="00135C7E"/>
    <w:rsid w:val="00135EA0"/>
    <w:rsid w:val="00135ED9"/>
    <w:rsid w:val="00135F43"/>
    <w:rsid w:val="001360BC"/>
    <w:rsid w:val="00136241"/>
    <w:rsid w:val="001362AC"/>
    <w:rsid w:val="001362CB"/>
    <w:rsid w:val="001363E2"/>
    <w:rsid w:val="00136884"/>
    <w:rsid w:val="00136AB3"/>
    <w:rsid w:val="00136CBD"/>
    <w:rsid w:val="00136D1E"/>
    <w:rsid w:val="001373E2"/>
    <w:rsid w:val="00137BCF"/>
    <w:rsid w:val="00137EB0"/>
    <w:rsid w:val="00137F60"/>
    <w:rsid w:val="00137F75"/>
    <w:rsid w:val="00140188"/>
    <w:rsid w:val="00140565"/>
    <w:rsid w:val="0014061A"/>
    <w:rsid w:val="00140717"/>
    <w:rsid w:val="0014077D"/>
    <w:rsid w:val="0014093B"/>
    <w:rsid w:val="001409D8"/>
    <w:rsid w:val="00140D35"/>
    <w:rsid w:val="0014128B"/>
    <w:rsid w:val="001413E1"/>
    <w:rsid w:val="001415A2"/>
    <w:rsid w:val="001415A3"/>
    <w:rsid w:val="00141605"/>
    <w:rsid w:val="0014160B"/>
    <w:rsid w:val="00141780"/>
    <w:rsid w:val="0014185A"/>
    <w:rsid w:val="00141C80"/>
    <w:rsid w:val="00141C82"/>
    <w:rsid w:val="00141E93"/>
    <w:rsid w:val="00141F9A"/>
    <w:rsid w:val="00141FEB"/>
    <w:rsid w:val="001420E2"/>
    <w:rsid w:val="00142260"/>
    <w:rsid w:val="001422D9"/>
    <w:rsid w:val="00142414"/>
    <w:rsid w:val="001425B0"/>
    <w:rsid w:val="00142877"/>
    <w:rsid w:val="00142908"/>
    <w:rsid w:val="00142AD6"/>
    <w:rsid w:val="00142B65"/>
    <w:rsid w:val="00142D78"/>
    <w:rsid w:val="0014353C"/>
    <w:rsid w:val="00143741"/>
    <w:rsid w:val="00143A74"/>
    <w:rsid w:val="001440CA"/>
    <w:rsid w:val="001442D7"/>
    <w:rsid w:val="00144B31"/>
    <w:rsid w:val="00144B45"/>
    <w:rsid w:val="00144DFF"/>
    <w:rsid w:val="00145249"/>
    <w:rsid w:val="00145364"/>
    <w:rsid w:val="001454B6"/>
    <w:rsid w:val="00145562"/>
    <w:rsid w:val="00145564"/>
    <w:rsid w:val="00145795"/>
    <w:rsid w:val="00145DC0"/>
    <w:rsid w:val="00145F17"/>
    <w:rsid w:val="00145F19"/>
    <w:rsid w:val="00145FE5"/>
    <w:rsid w:val="001460BA"/>
    <w:rsid w:val="001463E1"/>
    <w:rsid w:val="001464B4"/>
    <w:rsid w:val="001469D9"/>
    <w:rsid w:val="001469F8"/>
    <w:rsid w:val="00146F4F"/>
    <w:rsid w:val="001471F3"/>
    <w:rsid w:val="001475A8"/>
    <w:rsid w:val="00147D21"/>
    <w:rsid w:val="00147D55"/>
    <w:rsid w:val="00147D7D"/>
    <w:rsid w:val="001503F6"/>
    <w:rsid w:val="001504E3"/>
    <w:rsid w:val="001507C2"/>
    <w:rsid w:val="0015092F"/>
    <w:rsid w:val="00150A24"/>
    <w:rsid w:val="00150A9E"/>
    <w:rsid w:val="00150C83"/>
    <w:rsid w:val="00150D81"/>
    <w:rsid w:val="00150DD8"/>
    <w:rsid w:val="00150E2D"/>
    <w:rsid w:val="00150E5D"/>
    <w:rsid w:val="001512A4"/>
    <w:rsid w:val="0015165A"/>
    <w:rsid w:val="0015195E"/>
    <w:rsid w:val="00151ABE"/>
    <w:rsid w:val="00151FEB"/>
    <w:rsid w:val="00152113"/>
    <w:rsid w:val="00152191"/>
    <w:rsid w:val="0015261C"/>
    <w:rsid w:val="00152C75"/>
    <w:rsid w:val="00152E25"/>
    <w:rsid w:val="00153081"/>
    <w:rsid w:val="00153506"/>
    <w:rsid w:val="0015378B"/>
    <w:rsid w:val="00153AC9"/>
    <w:rsid w:val="00153E1E"/>
    <w:rsid w:val="00153E55"/>
    <w:rsid w:val="00153F7D"/>
    <w:rsid w:val="00154062"/>
    <w:rsid w:val="00154254"/>
    <w:rsid w:val="00154339"/>
    <w:rsid w:val="001543AF"/>
    <w:rsid w:val="001545EC"/>
    <w:rsid w:val="001547A3"/>
    <w:rsid w:val="00154886"/>
    <w:rsid w:val="00154B12"/>
    <w:rsid w:val="00154BB8"/>
    <w:rsid w:val="00154C05"/>
    <w:rsid w:val="00154D4E"/>
    <w:rsid w:val="001551C9"/>
    <w:rsid w:val="001554AD"/>
    <w:rsid w:val="001555DC"/>
    <w:rsid w:val="00155920"/>
    <w:rsid w:val="00155E5A"/>
    <w:rsid w:val="0015625B"/>
    <w:rsid w:val="0015675A"/>
    <w:rsid w:val="0015694E"/>
    <w:rsid w:val="00156C11"/>
    <w:rsid w:val="001570C1"/>
    <w:rsid w:val="001571A5"/>
    <w:rsid w:val="0015746A"/>
    <w:rsid w:val="001579AA"/>
    <w:rsid w:val="00157DB8"/>
    <w:rsid w:val="00157DEE"/>
    <w:rsid w:val="00160278"/>
    <w:rsid w:val="0016035B"/>
    <w:rsid w:val="001603EF"/>
    <w:rsid w:val="001608F1"/>
    <w:rsid w:val="0016094C"/>
    <w:rsid w:val="00160F48"/>
    <w:rsid w:val="00161285"/>
    <w:rsid w:val="00161540"/>
    <w:rsid w:val="001617A5"/>
    <w:rsid w:val="00161A1A"/>
    <w:rsid w:val="00161D78"/>
    <w:rsid w:val="0016260B"/>
    <w:rsid w:val="001626E5"/>
    <w:rsid w:val="001627A3"/>
    <w:rsid w:val="00162D92"/>
    <w:rsid w:val="00162EC6"/>
    <w:rsid w:val="00162F80"/>
    <w:rsid w:val="00163026"/>
    <w:rsid w:val="0016319E"/>
    <w:rsid w:val="0016321D"/>
    <w:rsid w:val="00163484"/>
    <w:rsid w:val="001638A7"/>
    <w:rsid w:val="00163970"/>
    <w:rsid w:val="00163A73"/>
    <w:rsid w:val="00163ABB"/>
    <w:rsid w:val="00163C14"/>
    <w:rsid w:val="00163F44"/>
    <w:rsid w:val="00164150"/>
    <w:rsid w:val="001644AF"/>
    <w:rsid w:val="001644CD"/>
    <w:rsid w:val="00164621"/>
    <w:rsid w:val="001647FB"/>
    <w:rsid w:val="00164806"/>
    <w:rsid w:val="00164964"/>
    <w:rsid w:val="00164989"/>
    <w:rsid w:val="00164A6E"/>
    <w:rsid w:val="00164ADA"/>
    <w:rsid w:val="00164C19"/>
    <w:rsid w:val="00164CA4"/>
    <w:rsid w:val="00164EBE"/>
    <w:rsid w:val="00164FAE"/>
    <w:rsid w:val="00165069"/>
    <w:rsid w:val="0016507D"/>
    <w:rsid w:val="00165239"/>
    <w:rsid w:val="001652F1"/>
    <w:rsid w:val="00165965"/>
    <w:rsid w:val="00165966"/>
    <w:rsid w:val="0016599E"/>
    <w:rsid w:val="00165A72"/>
    <w:rsid w:val="00165E24"/>
    <w:rsid w:val="00165F01"/>
    <w:rsid w:val="00165F49"/>
    <w:rsid w:val="0016606F"/>
    <w:rsid w:val="0016672C"/>
    <w:rsid w:val="00166A7E"/>
    <w:rsid w:val="00166AAB"/>
    <w:rsid w:val="00166B45"/>
    <w:rsid w:val="00166D50"/>
    <w:rsid w:val="00167179"/>
    <w:rsid w:val="00167205"/>
    <w:rsid w:val="0016723D"/>
    <w:rsid w:val="00167260"/>
    <w:rsid w:val="00167276"/>
    <w:rsid w:val="00167288"/>
    <w:rsid w:val="00167356"/>
    <w:rsid w:val="00167679"/>
    <w:rsid w:val="001677A3"/>
    <w:rsid w:val="0016790A"/>
    <w:rsid w:val="00167C19"/>
    <w:rsid w:val="00167C7F"/>
    <w:rsid w:val="001701C9"/>
    <w:rsid w:val="001701F3"/>
    <w:rsid w:val="0017043E"/>
    <w:rsid w:val="00170452"/>
    <w:rsid w:val="00170545"/>
    <w:rsid w:val="001705F3"/>
    <w:rsid w:val="0017069F"/>
    <w:rsid w:val="00170860"/>
    <w:rsid w:val="001708DC"/>
    <w:rsid w:val="00170B68"/>
    <w:rsid w:val="00170C12"/>
    <w:rsid w:val="0017101B"/>
    <w:rsid w:val="0017105C"/>
    <w:rsid w:val="00171156"/>
    <w:rsid w:val="001712C6"/>
    <w:rsid w:val="001713F8"/>
    <w:rsid w:val="00171401"/>
    <w:rsid w:val="00171455"/>
    <w:rsid w:val="00171693"/>
    <w:rsid w:val="00171854"/>
    <w:rsid w:val="00171942"/>
    <w:rsid w:val="00171A4E"/>
    <w:rsid w:val="00171AC5"/>
    <w:rsid w:val="00171AFB"/>
    <w:rsid w:val="00171B37"/>
    <w:rsid w:val="00171B69"/>
    <w:rsid w:val="0017218C"/>
    <w:rsid w:val="001724EA"/>
    <w:rsid w:val="001725C8"/>
    <w:rsid w:val="001729FC"/>
    <w:rsid w:val="00172CBA"/>
    <w:rsid w:val="00172CDE"/>
    <w:rsid w:val="00172D72"/>
    <w:rsid w:val="00172EAC"/>
    <w:rsid w:val="00173872"/>
    <w:rsid w:val="00173BAF"/>
    <w:rsid w:val="00173DD8"/>
    <w:rsid w:val="00173E69"/>
    <w:rsid w:val="0017403B"/>
    <w:rsid w:val="00174646"/>
    <w:rsid w:val="0017483E"/>
    <w:rsid w:val="00174C35"/>
    <w:rsid w:val="00174DDA"/>
    <w:rsid w:val="001751C1"/>
    <w:rsid w:val="001751C4"/>
    <w:rsid w:val="00175342"/>
    <w:rsid w:val="001758BE"/>
    <w:rsid w:val="001761AD"/>
    <w:rsid w:val="00176916"/>
    <w:rsid w:val="00176A87"/>
    <w:rsid w:val="00176B31"/>
    <w:rsid w:val="00176D8C"/>
    <w:rsid w:val="00176F50"/>
    <w:rsid w:val="001773A3"/>
    <w:rsid w:val="0017757D"/>
    <w:rsid w:val="001777FB"/>
    <w:rsid w:val="0017798D"/>
    <w:rsid w:val="001779B2"/>
    <w:rsid w:val="00177CFD"/>
    <w:rsid w:val="001801C3"/>
    <w:rsid w:val="0018022C"/>
    <w:rsid w:val="00180315"/>
    <w:rsid w:val="001804FA"/>
    <w:rsid w:val="001805FB"/>
    <w:rsid w:val="001807E7"/>
    <w:rsid w:val="00180809"/>
    <w:rsid w:val="00180A67"/>
    <w:rsid w:val="00180D0C"/>
    <w:rsid w:val="00180E15"/>
    <w:rsid w:val="00180ED4"/>
    <w:rsid w:val="00180F4F"/>
    <w:rsid w:val="00180F9E"/>
    <w:rsid w:val="001810C3"/>
    <w:rsid w:val="00181168"/>
    <w:rsid w:val="001811D7"/>
    <w:rsid w:val="001815DA"/>
    <w:rsid w:val="001816AA"/>
    <w:rsid w:val="001817F1"/>
    <w:rsid w:val="0018185B"/>
    <w:rsid w:val="00181B2C"/>
    <w:rsid w:val="00181CAC"/>
    <w:rsid w:val="00181D22"/>
    <w:rsid w:val="00181DFC"/>
    <w:rsid w:val="00182902"/>
    <w:rsid w:val="001829B8"/>
    <w:rsid w:val="00182D72"/>
    <w:rsid w:val="00183301"/>
    <w:rsid w:val="001833CD"/>
    <w:rsid w:val="00183415"/>
    <w:rsid w:val="00183616"/>
    <w:rsid w:val="0018370A"/>
    <w:rsid w:val="001838EF"/>
    <w:rsid w:val="00183A60"/>
    <w:rsid w:val="00183E27"/>
    <w:rsid w:val="00183F97"/>
    <w:rsid w:val="00183FD3"/>
    <w:rsid w:val="00184013"/>
    <w:rsid w:val="001840A0"/>
    <w:rsid w:val="00184155"/>
    <w:rsid w:val="00184331"/>
    <w:rsid w:val="001845B4"/>
    <w:rsid w:val="001845B5"/>
    <w:rsid w:val="001848C9"/>
    <w:rsid w:val="00184B62"/>
    <w:rsid w:val="00184C4C"/>
    <w:rsid w:val="00184CEF"/>
    <w:rsid w:val="00184D44"/>
    <w:rsid w:val="001851B7"/>
    <w:rsid w:val="00185215"/>
    <w:rsid w:val="001858E2"/>
    <w:rsid w:val="00185975"/>
    <w:rsid w:val="00185A90"/>
    <w:rsid w:val="00185AEB"/>
    <w:rsid w:val="00185BE3"/>
    <w:rsid w:val="00185DB0"/>
    <w:rsid w:val="00185E7A"/>
    <w:rsid w:val="0018625A"/>
    <w:rsid w:val="0018691F"/>
    <w:rsid w:val="001869B0"/>
    <w:rsid w:val="00186B66"/>
    <w:rsid w:val="00186C0F"/>
    <w:rsid w:val="00186D80"/>
    <w:rsid w:val="00186E88"/>
    <w:rsid w:val="00186EDA"/>
    <w:rsid w:val="00186F48"/>
    <w:rsid w:val="001871F5"/>
    <w:rsid w:val="001872C7"/>
    <w:rsid w:val="001872D5"/>
    <w:rsid w:val="0018777E"/>
    <w:rsid w:val="00187ACF"/>
    <w:rsid w:val="00187B2D"/>
    <w:rsid w:val="00187B4D"/>
    <w:rsid w:val="00187B93"/>
    <w:rsid w:val="00187BFE"/>
    <w:rsid w:val="001900D9"/>
    <w:rsid w:val="0019063D"/>
    <w:rsid w:val="00190700"/>
    <w:rsid w:val="00190994"/>
    <w:rsid w:val="001909AF"/>
    <w:rsid w:val="00190F67"/>
    <w:rsid w:val="001910B4"/>
    <w:rsid w:val="00191173"/>
    <w:rsid w:val="00191201"/>
    <w:rsid w:val="0019124A"/>
    <w:rsid w:val="00191622"/>
    <w:rsid w:val="00191788"/>
    <w:rsid w:val="0019178F"/>
    <w:rsid w:val="00191BD0"/>
    <w:rsid w:val="00191C26"/>
    <w:rsid w:val="00191D9B"/>
    <w:rsid w:val="00191EF6"/>
    <w:rsid w:val="001920D7"/>
    <w:rsid w:val="001921C9"/>
    <w:rsid w:val="001921D7"/>
    <w:rsid w:val="0019222D"/>
    <w:rsid w:val="00192348"/>
    <w:rsid w:val="00192389"/>
    <w:rsid w:val="0019239F"/>
    <w:rsid w:val="00192404"/>
    <w:rsid w:val="0019252A"/>
    <w:rsid w:val="001925AB"/>
    <w:rsid w:val="001925DF"/>
    <w:rsid w:val="001927D4"/>
    <w:rsid w:val="001927F6"/>
    <w:rsid w:val="00192818"/>
    <w:rsid w:val="00192965"/>
    <w:rsid w:val="00192BF6"/>
    <w:rsid w:val="00192C6A"/>
    <w:rsid w:val="00192E7C"/>
    <w:rsid w:val="00192ECE"/>
    <w:rsid w:val="00193154"/>
    <w:rsid w:val="0019315D"/>
    <w:rsid w:val="001933B7"/>
    <w:rsid w:val="001936FC"/>
    <w:rsid w:val="00193799"/>
    <w:rsid w:val="00193964"/>
    <w:rsid w:val="0019398A"/>
    <w:rsid w:val="00193DBD"/>
    <w:rsid w:val="00193E20"/>
    <w:rsid w:val="00193F25"/>
    <w:rsid w:val="001942B7"/>
    <w:rsid w:val="0019456F"/>
    <w:rsid w:val="001945D8"/>
    <w:rsid w:val="0019462C"/>
    <w:rsid w:val="00194983"/>
    <w:rsid w:val="001949C2"/>
    <w:rsid w:val="001950ED"/>
    <w:rsid w:val="00195359"/>
    <w:rsid w:val="00195480"/>
    <w:rsid w:val="001955E7"/>
    <w:rsid w:val="001957EC"/>
    <w:rsid w:val="00195A76"/>
    <w:rsid w:val="00195CF2"/>
    <w:rsid w:val="00195D79"/>
    <w:rsid w:val="00195DEE"/>
    <w:rsid w:val="00195F0F"/>
    <w:rsid w:val="001964FA"/>
    <w:rsid w:val="0019674A"/>
    <w:rsid w:val="001968FF"/>
    <w:rsid w:val="00196918"/>
    <w:rsid w:val="0019699C"/>
    <w:rsid w:val="001969C0"/>
    <w:rsid w:val="001969E2"/>
    <w:rsid w:val="00196CDC"/>
    <w:rsid w:val="00196DC8"/>
    <w:rsid w:val="00197201"/>
    <w:rsid w:val="00197650"/>
    <w:rsid w:val="001976F9"/>
    <w:rsid w:val="00197731"/>
    <w:rsid w:val="001979AA"/>
    <w:rsid w:val="001979D3"/>
    <w:rsid w:val="00197D6C"/>
    <w:rsid w:val="001A049C"/>
    <w:rsid w:val="001A052F"/>
    <w:rsid w:val="001A059F"/>
    <w:rsid w:val="001A0BDB"/>
    <w:rsid w:val="001A0DB9"/>
    <w:rsid w:val="001A0FB9"/>
    <w:rsid w:val="001A106C"/>
    <w:rsid w:val="001A19C8"/>
    <w:rsid w:val="001A1B7E"/>
    <w:rsid w:val="001A1C2A"/>
    <w:rsid w:val="001A1C4A"/>
    <w:rsid w:val="001A1CC6"/>
    <w:rsid w:val="001A1DAF"/>
    <w:rsid w:val="001A1E78"/>
    <w:rsid w:val="001A1F74"/>
    <w:rsid w:val="001A1FB6"/>
    <w:rsid w:val="001A2250"/>
    <w:rsid w:val="001A236F"/>
    <w:rsid w:val="001A2605"/>
    <w:rsid w:val="001A2752"/>
    <w:rsid w:val="001A2D68"/>
    <w:rsid w:val="001A3181"/>
    <w:rsid w:val="001A34CC"/>
    <w:rsid w:val="001A3531"/>
    <w:rsid w:val="001A3958"/>
    <w:rsid w:val="001A3C2F"/>
    <w:rsid w:val="001A3FC8"/>
    <w:rsid w:val="001A40ED"/>
    <w:rsid w:val="001A4159"/>
    <w:rsid w:val="001A4207"/>
    <w:rsid w:val="001A42AE"/>
    <w:rsid w:val="001A45B7"/>
    <w:rsid w:val="001A478B"/>
    <w:rsid w:val="001A4ACF"/>
    <w:rsid w:val="001A4B17"/>
    <w:rsid w:val="001A4EDA"/>
    <w:rsid w:val="001A4FAC"/>
    <w:rsid w:val="001A53DF"/>
    <w:rsid w:val="001A5524"/>
    <w:rsid w:val="001A5594"/>
    <w:rsid w:val="001A5844"/>
    <w:rsid w:val="001A5875"/>
    <w:rsid w:val="001A5990"/>
    <w:rsid w:val="001A59AA"/>
    <w:rsid w:val="001A5A76"/>
    <w:rsid w:val="001A5D25"/>
    <w:rsid w:val="001A6063"/>
    <w:rsid w:val="001A65B7"/>
    <w:rsid w:val="001A6629"/>
    <w:rsid w:val="001A66DF"/>
    <w:rsid w:val="001A678F"/>
    <w:rsid w:val="001A6987"/>
    <w:rsid w:val="001A69EE"/>
    <w:rsid w:val="001A6B7E"/>
    <w:rsid w:val="001A6C72"/>
    <w:rsid w:val="001A6EB6"/>
    <w:rsid w:val="001A703A"/>
    <w:rsid w:val="001A715B"/>
    <w:rsid w:val="001A71F1"/>
    <w:rsid w:val="001A73A0"/>
    <w:rsid w:val="001A73E0"/>
    <w:rsid w:val="001A745A"/>
    <w:rsid w:val="001A750E"/>
    <w:rsid w:val="001A7521"/>
    <w:rsid w:val="001A7886"/>
    <w:rsid w:val="001A79FC"/>
    <w:rsid w:val="001A7B00"/>
    <w:rsid w:val="001A7B39"/>
    <w:rsid w:val="001A7D31"/>
    <w:rsid w:val="001B006E"/>
    <w:rsid w:val="001B023A"/>
    <w:rsid w:val="001B0291"/>
    <w:rsid w:val="001B02D9"/>
    <w:rsid w:val="001B03EE"/>
    <w:rsid w:val="001B05CE"/>
    <w:rsid w:val="001B0972"/>
    <w:rsid w:val="001B0A43"/>
    <w:rsid w:val="001B0C3C"/>
    <w:rsid w:val="001B0E21"/>
    <w:rsid w:val="001B11CA"/>
    <w:rsid w:val="001B152F"/>
    <w:rsid w:val="001B15F1"/>
    <w:rsid w:val="001B16A7"/>
    <w:rsid w:val="001B17D0"/>
    <w:rsid w:val="001B1B57"/>
    <w:rsid w:val="001B1B85"/>
    <w:rsid w:val="001B1F63"/>
    <w:rsid w:val="001B1F8F"/>
    <w:rsid w:val="001B22DA"/>
    <w:rsid w:val="001B267F"/>
    <w:rsid w:val="001B2704"/>
    <w:rsid w:val="001B2816"/>
    <w:rsid w:val="001B289B"/>
    <w:rsid w:val="001B2915"/>
    <w:rsid w:val="001B2A26"/>
    <w:rsid w:val="001B2C80"/>
    <w:rsid w:val="001B2FCA"/>
    <w:rsid w:val="001B30AA"/>
    <w:rsid w:val="001B326C"/>
    <w:rsid w:val="001B32BB"/>
    <w:rsid w:val="001B353E"/>
    <w:rsid w:val="001B35B5"/>
    <w:rsid w:val="001B3A89"/>
    <w:rsid w:val="001B3AB0"/>
    <w:rsid w:val="001B3D58"/>
    <w:rsid w:val="001B3EAD"/>
    <w:rsid w:val="001B3EDD"/>
    <w:rsid w:val="001B40B4"/>
    <w:rsid w:val="001B40D2"/>
    <w:rsid w:val="001B4211"/>
    <w:rsid w:val="001B44FE"/>
    <w:rsid w:val="001B4539"/>
    <w:rsid w:val="001B47B1"/>
    <w:rsid w:val="001B4B90"/>
    <w:rsid w:val="001B4D6E"/>
    <w:rsid w:val="001B4D76"/>
    <w:rsid w:val="001B4E0C"/>
    <w:rsid w:val="001B4ED9"/>
    <w:rsid w:val="001B4F11"/>
    <w:rsid w:val="001B52B7"/>
    <w:rsid w:val="001B53A0"/>
    <w:rsid w:val="001B5680"/>
    <w:rsid w:val="001B56F4"/>
    <w:rsid w:val="001B5A9E"/>
    <w:rsid w:val="001B5E44"/>
    <w:rsid w:val="001B5E7A"/>
    <w:rsid w:val="001B61C1"/>
    <w:rsid w:val="001B66E6"/>
    <w:rsid w:val="001B68D8"/>
    <w:rsid w:val="001B694E"/>
    <w:rsid w:val="001B6ECA"/>
    <w:rsid w:val="001B7A43"/>
    <w:rsid w:val="001B7AD0"/>
    <w:rsid w:val="001B7B43"/>
    <w:rsid w:val="001B7C8B"/>
    <w:rsid w:val="001B7D5D"/>
    <w:rsid w:val="001B7DA7"/>
    <w:rsid w:val="001B7EEA"/>
    <w:rsid w:val="001B7F13"/>
    <w:rsid w:val="001C01E7"/>
    <w:rsid w:val="001C0380"/>
    <w:rsid w:val="001C0492"/>
    <w:rsid w:val="001C0537"/>
    <w:rsid w:val="001C05DE"/>
    <w:rsid w:val="001C0926"/>
    <w:rsid w:val="001C098B"/>
    <w:rsid w:val="001C0A4B"/>
    <w:rsid w:val="001C0CE0"/>
    <w:rsid w:val="001C0EA9"/>
    <w:rsid w:val="001C0F50"/>
    <w:rsid w:val="001C1447"/>
    <w:rsid w:val="001C1573"/>
    <w:rsid w:val="001C1AE7"/>
    <w:rsid w:val="001C1C11"/>
    <w:rsid w:val="001C2083"/>
    <w:rsid w:val="001C212E"/>
    <w:rsid w:val="001C21C8"/>
    <w:rsid w:val="001C2248"/>
    <w:rsid w:val="001C227F"/>
    <w:rsid w:val="001C254D"/>
    <w:rsid w:val="001C26A9"/>
    <w:rsid w:val="001C334A"/>
    <w:rsid w:val="001C381C"/>
    <w:rsid w:val="001C38B0"/>
    <w:rsid w:val="001C38C1"/>
    <w:rsid w:val="001C38CB"/>
    <w:rsid w:val="001C3922"/>
    <w:rsid w:val="001C395E"/>
    <w:rsid w:val="001C3C6F"/>
    <w:rsid w:val="001C3DD2"/>
    <w:rsid w:val="001C405D"/>
    <w:rsid w:val="001C4157"/>
    <w:rsid w:val="001C435C"/>
    <w:rsid w:val="001C438B"/>
    <w:rsid w:val="001C4612"/>
    <w:rsid w:val="001C4920"/>
    <w:rsid w:val="001C49B7"/>
    <w:rsid w:val="001C49E5"/>
    <w:rsid w:val="001C4CE4"/>
    <w:rsid w:val="001C4E2E"/>
    <w:rsid w:val="001C5012"/>
    <w:rsid w:val="001C52EE"/>
    <w:rsid w:val="001C534B"/>
    <w:rsid w:val="001C54E4"/>
    <w:rsid w:val="001C5514"/>
    <w:rsid w:val="001C554F"/>
    <w:rsid w:val="001C5A11"/>
    <w:rsid w:val="001C64C6"/>
    <w:rsid w:val="001C64CA"/>
    <w:rsid w:val="001C6781"/>
    <w:rsid w:val="001C684E"/>
    <w:rsid w:val="001C6ABF"/>
    <w:rsid w:val="001C6BBE"/>
    <w:rsid w:val="001C6EF2"/>
    <w:rsid w:val="001C713A"/>
    <w:rsid w:val="001C7245"/>
    <w:rsid w:val="001C73DF"/>
    <w:rsid w:val="001C750A"/>
    <w:rsid w:val="001C7791"/>
    <w:rsid w:val="001C7901"/>
    <w:rsid w:val="001C794F"/>
    <w:rsid w:val="001C79F8"/>
    <w:rsid w:val="001C7B94"/>
    <w:rsid w:val="001D02C4"/>
    <w:rsid w:val="001D032B"/>
    <w:rsid w:val="001D068B"/>
    <w:rsid w:val="001D07CD"/>
    <w:rsid w:val="001D09DE"/>
    <w:rsid w:val="001D0B7F"/>
    <w:rsid w:val="001D0DF4"/>
    <w:rsid w:val="001D0EE8"/>
    <w:rsid w:val="001D0F3A"/>
    <w:rsid w:val="001D103C"/>
    <w:rsid w:val="001D119D"/>
    <w:rsid w:val="001D123F"/>
    <w:rsid w:val="001D140F"/>
    <w:rsid w:val="001D1701"/>
    <w:rsid w:val="001D1874"/>
    <w:rsid w:val="001D19FA"/>
    <w:rsid w:val="001D1A8B"/>
    <w:rsid w:val="001D1BAD"/>
    <w:rsid w:val="001D1EFD"/>
    <w:rsid w:val="001D1FB5"/>
    <w:rsid w:val="001D2325"/>
    <w:rsid w:val="001D23B7"/>
    <w:rsid w:val="001D2729"/>
    <w:rsid w:val="001D2C0C"/>
    <w:rsid w:val="001D2C15"/>
    <w:rsid w:val="001D30CE"/>
    <w:rsid w:val="001D3331"/>
    <w:rsid w:val="001D346C"/>
    <w:rsid w:val="001D3878"/>
    <w:rsid w:val="001D3951"/>
    <w:rsid w:val="001D3BCD"/>
    <w:rsid w:val="001D41AC"/>
    <w:rsid w:val="001D45ED"/>
    <w:rsid w:val="001D46A8"/>
    <w:rsid w:val="001D47D4"/>
    <w:rsid w:val="001D47DD"/>
    <w:rsid w:val="001D4849"/>
    <w:rsid w:val="001D487F"/>
    <w:rsid w:val="001D48A1"/>
    <w:rsid w:val="001D4A5D"/>
    <w:rsid w:val="001D4D0D"/>
    <w:rsid w:val="001D5005"/>
    <w:rsid w:val="001D5040"/>
    <w:rsid w:val="001D5411"/>
    <w:rsid w:val="001D5693"/>
    <w:rsid w:val="001D59D6"/>
    <w:rsid w:val="001D5B13"/>
    <w:rsid w:val="001D5DB0"/>
    <w:rsid w:val="001D6432"/>
    <w:rsid w:val="001D64D0"/>
    <w:rsid w:val="001D6A5A"/>
    <w:rsid w:val="001D6AA9"/>
    <w:rsid w:val="001D6C5F"/>
    <w:rsid w:val="001D6D9A"/>
    <w:rsid w:val="001D6E2F"/>
    <w:rsid w:val="001D6E58"/>
    <w:rsid w:val="001D6EA3"/>
    <w:rsid w:val="001D6FB6"/>
    <w:rsid w:val="001D6FB7"/>
    <w:rsid w:val="001D73E8"/>
    <w:rsid w:val="001D77BA"/>
    <w:rsid w:val="001D7C3B"/>
    <w:rsid w:val="001D7D0D"/>
    <w:rsid w:val="001D7EB6"/>
    <w:rsid w:val="001E00F7"/>
    <w:rsid w:val="001E0279"/>
    <w:rsid w:val="001E02E3"/>
    <w:rsid w:val="001E08D4"/>
    <w:rsid w:val="001E0CD8"/>
    <w:rsid w:val="001E1428"/>
    <w:rsid w:val="001E1492"/>
    <w:rsid w:val="001E1790"/>
    <w:rsid w:val="001E1876"/>
    <w:rsid w:val="001E1AA7"/>
    <w:rsid w:val="001E1EB4"/>
    <w:rsid w:val="001E2206"/>
    <w:rsid w:val="001E248C"/>
    <w:rsid w:val="001E24BE"/>
    <w:rsid w:val="001E2B30"/>
    <w:rsid w:val="001E2C44"/>
    <w:rsid w:val="001E2D25"/>
    <w:rsid w:val="001E305E"/>
    <w:rsid w:val="001E33AC"/>
    <w:rsid w:val="001E33EB"/>
    <w:rsid w:val="001E34C8"/>
    <w:rsid w:val="001E3532"/>
    <w:rsid w:val="001E3858"/>
    <w:rsid w:val="001E3AFB"/>
    <w:rsid w:val="001E3B9B"/>
    <w:rsid w:val="001E3CE3"/>
    <w:rsid w:val="001E3E51"/>
    <w:rsid w:val="001E3FFF"/>
    <w:rsid w:val="001E414D"/>
    <w:rsid w:val="001E4162"/>
    <w:rsid w:val="001E423A"/>
    <w:rsid w:val="001E465A"/>
    <w:rsid w:val="001E475E"/>
    <w:rsid w:val="001E4798"/>
    <w:rsid w:val="001E47E5"/>
    <w:rsid w:val="001E4812"/>
    <w:rsid w:val="001E496C"/>
    <w:rsid w:val="001E4AE4"/>
    <w:rsid w:val="001E4DD5"/>
    <w:rsid w:val="001E4E24"/>
    <w:rsid w:val="001E50AF"/>
    <w:rsid w:val="001E50ED"/>
    <w:rsid w:val="001E52B7"/>
    <w:rsid w:val="001E6048"/>
    <w:rsid w:val="001E6603"/>
    <w:rsid w:val="001E6810"/>
    <w:rsid w:val="001E6CB6"/>
    <w:rsid w:val="001E6EBA"/>
    <w:rsid w:val="001E723B"/>
    <w:rsid w:val="001E755B"/>
    <w:rsid w:val="001E75C2"/>
    <w:rsid w:val="001E7CA5"/>
    <w:rsid w:val="001E7CEA"/>
    <w:rsid w:val="001E7EEC"/>
    <w:rsid w:val="001F008E"/>
    <w:rsid w:val="001F059A"/>
    <w:rsid w:val="001F06DD"/>
    <w:rsid w:val="001F078C"/>
    <w:rsid w:val="001F0AF8"/>
    <w:rsid w:val="001F0B16"/>
    <w:rsid w:val="001F0BD4"/>
    <w:rsid w:val="001F0D25"/>
    <w:rsid w:val="001F0DF4"/>
    <w:rsid w:val="001F1002"/>
    <w:rsid w:val="001F100D"/>
    <w:rsid w:val="001F105F"/>
    <w:rsid w:val="001F1207"/>
    <w:rsid w:val="001F12F7"/>
    <w:rsid w:val="001F12F8"/>
    <w:rsid w:val="001F131B"/>
    <w:rsid w:val="001F1592"/>
    <w:rsid w:val="001F1649"/>
    <w:rsid w:val="001F1660"/>
    <w:rsid w:val="001F1CE6"/>
    <w:rsid w:val="001F1DFF"/>
    <w:rsid w:val="001F2072"/>
    <w:rsid w:val="001F215B"/>
    <w:rsid w:val="001F231D"/>
    <w:rsid w:val="001F2387"/>
    <w:rsid w:val="001F23C1"/>
    <w:rsid w:val="001F2582"/>
    <w:rsid w:val="001F26E7"/>
    <w:rsid w:val="001F28C6"/>
    <w:rsid w:val="001F297A"/>
    <w:rsid w:val="001F2AD1"/>
    <w:rsid w:val="001F2C85"/>
    <w:rsid w:val="001F2C8B"/>
    <w:rsid w:val="001F2DD5"/>
    <w:rsid w:val="001F310A"/>
    <w:rsid w:val="001F33BB"/>
    <w:rsid w:val="001F36B6"/>
    <w:rsid w:val="001F36E9"/>
    <w:rsid w:val="001F3997"/>
    <w:rsid w:val="001F3D35"/>
    <w:rsid w:val="001F42EB"/>
    <w:rsid w:val="001F44A9"/>
    <w:rsid w:val="001F455A"/>
    <w:rsid w:val="001F4829"/>
    <w:rsid w:val="001F5510"/>
    <w:rsid w:val="001F5649"/>
    <w:rsid w:val="001F56A1"/>
    <w:rsid w:val="001F5903"/>
    <w:rsid w:val="001F59DF"/>
    <w:rsid w:val="001F59EC"/>
    <w:rsid w:val="001F5ABF"/>
    <w:rsid w:val="001F5B28"/>
    <w:rsid w:val="001F5CF8"/>
    <w:rsid w:val="001F5D41"/>
    <w:rsid w:val="001F5DF0"/>
    <w:rsid w:val="001F6045"/>
    <w:rsid w:val="001F604E"/>
    <w:rsid w:val="001F63E5"/>
    <w:rsid w:val="001F645F"/>
    <w:rsid w:val="001F64A3"/>
    <w:rsid w:val="001F65DE"/>
    <w:rsid w:val="001F6C84"/>
    <w:rsid w:val="001F6F65"/>
    <w:rsid w:val="001F727F"/>
    <w:rsid w:val="001F743D"/>
    <w:rsid w:val="001F7517"/>
    <w:rsid w:val="001F7566"/>
    <w:rsid w:val="001F75DB"/>
    <w:rsid w:val="001F7769"/>
    <w:rsid w:val="001F7B49"/>
    <w:rsid w:val="001F7C29"/>
    <w:rsid w:val="001F7C75"/>
    <w:rsid w:val="001F7C81"/>
    <w:rsid w:val="001F7FEE"/>
    <w:rsid w:val="00200382"/>
    <w:rsid w:val="00200687"/>
    <w:rsid w:val="002009C4"/>
    <w:rsid w:val="00200F75"/>
    <w:rsid w:val="00201064"/>
    <w:rsid w:val="002010C8"/>
    <w:rsid w:val="0020115F"/>
    <w:rsid w:val="002012D3"/>
    <w:rsid w:val="002013EA"/>
    <w:rsid w:val="00201461"/>
    <w:rsid w:val="0020163C"/>
    <w:rsid w:val="00201867"/>
    <w:rsid w:val="00201890"/>
    <w:rsid w:val="00201B76"/>
    <w:rsid w:val="00201BF0"/>
    <w:rsid w:val="00201DFF"/>
    <w:rsid w:val="00201FCC"/>
    <w:rsid w:val="002020AC"/>
    <w:rsid w:val="00202274"/>
    <w:rsid w:val="0020271A"/>
    <w:rsid w:val="00202B4D"/>
    <w:rsid w:val="00202BE3"/>
    <w:rsid w:val="00202BFF"/>
    <w:rsid w:val="00202C73"/>
    <w:rsid w:val="00202D42"/>
    <w:rsid w:val="00202F0A"/>
    <w:rsid w:val="00202F74"/>
    <w:rsid w:val="0020306D"/>
    <w:rsid w:val="00203127"/>
    <w:rsid w:val="00203160"/>
    <w:rsid w:val="00203396"/>
    <w:rsid w:val="002033D6"/>
    <w:rsid w:val="0020341E"/>
    <w:rsid w:val="00203601"/>
    <w:rsid w:val="002037C7"/>
    <w:rsid w:val="002039C3"/>
    <w:rsid w:val="00203F36"/>
    <w:rsid w:val="00204243"/>
    <w:rsid w:val="0020427C"/>
    <w:rsid w:val="0020436F"/>
    <w:rsid w:val="00204BD3"/>
    <w:rsid w:val="00204C88"/>
    <w:rsid w:val="00204CB1"/>
    <w:rsid w:val="00204D91"/>
    <w:rsid w:val="00204DD3"/>
    <w:rsid w:val="0020500C"/>
    <w:rsid w:val="002056BA"/>
    <w:rsid w:val="002059CB"/>
    <w:rsid w:val="00205B9C"/>
    <w:rsid w:val="00205BE0"/>
    <w:rsid w:val="00205C66"/>
    <w:rsid w:val="00205E4D"/>
    <w:rsid w:val="0020615F"/>
    <w:rsid w:val="002063E8"/>
    <w:rsid w:val="002063FE"/>
    <w:rsid w:val="00206489"/>
    <w:rsid w:val="002064B0"/>
    <w:rsid w:val="002064B3"/>
    <w:rsid w:val="00206610"/>
    <w:rsid w:val="0020664C"/>
    <w:rsid w:val="002066AA"/>
    <w:rsid w:val="002066D4"/>
    <w:rsid w:val="00206990"/>
    <w:rsid w:val="002069BA"/>
    <w:rsid w:val="00206AC8"/>
    <w:rsid w:val="00206C3E"/>
    <w:rsid w:val="00206D3F"/>
    <w:rsid w:val="00206E82"/>
    <w:rsid w:val="002075B6"/>
    <w:rsid w:val="0020789C"/>
    <w:rsid w:val="002079C6"/>
    <w:rsid w:val="00207B2A"/>
    <w:rsid w:val="00207BEE"/>
    <w:rsid w:val="0021012A"/>
    <w:rsid w:val="002103A9"/>
    <w:rsid w:val="0021047B"/>
    <w:rsid w:val="0021055E"/>
    <w:rsid w:val="00210679"/>
    <w:rsid w:val="00210811"/>
    <w:rsid w:val="0021081A"/>
    <w:rsid w:val="00210888"/>
    <w:rsid w:val="0021090C"/>
    <w:rsid w:val="00210BB2"/>
    <w:rsid w:val="0021112A"/>
    <w:rsid w:val="0021169C"/>
    <w:rsid w:val="002118B4"/>
    <w:rsid w:val="00211C1E"/>
    <w:rsid w:val="00211E26"/>
    <w:rsid w:val="00212012"/>
    <w:rsid w:val="00212418"/>
    <w:rsid w:val="002124C4"/>
    <w:rsid w:val="00212573"/>
    <w:rsid w:val="00212A7D"/>
    <w:rsid w:val="00212ABC"/>
    <w:rsid w:val="00212C4E"/>
    <w:rsid w:val="00212F92"/>
    <w:rsid w:val="00212FEB"/>
    <w:rsid w:val="00213002"/>
    <w:rsid w:val="00213360"/>
    <w:rsid w:val="00213587"/>
    <w:rsid w:val="0021363E"/>
    <w:rsid w:val="002136AD"/>
    <w:rsid w:val="00213980"/>
    <w:rsid w:val="00213A5F"/>
    <w:rsid w:val="00213C48"/>
    <w:rsid w:val="00213C53"/>
    <w:rsid w:val="00213F12"/>
    <w:rsid w:val="00213F4F"/>
    <w:rsid w:val="00214195"/>
    <w:rsid w:val="00214285"/>
    <w:rsid w:val="00214575"/>
    <w:rsid w:val="002145BC"/>
    <w:rsid w:val="002147D5"/>
    <w:rsid w:val="00214854"/>
    <w:rsid w:val="00214D5A"/>
    <w:rsid w:val="00215169"/>
    <w:rsid w:val="00215200"/>
    <w:rsid w:val="00215243"/>
    <w:rsid w:val="00215272"/>
    <w:rsid w:val="00215477"/>
    <w:rsid w:val="002157FA"/>
    <w:rsid w:val="00215D9B"/>
    <w:rsid w:val="00215F5B"/>
    <w:rsid w:val="00215F7E"/>
    <w:rsid w:val="0021602A"/>
    <w:rsid w:val="0021613E"/>
    <w:rsid w:val="00216354"/>
    <w:rsid w:val="002167BD"/>
    <w:rsid w:val="002169CB"/>
    <w:rsid w:val="00216A44"/>
    <w:rsid w:val="00216A4C"/>
    <w:rsid w:val="00216CB0"/>
    <w:rsid w:val="00216F25"/>
    <w:rsid w:val="0021720E"/>
    <w:rsid w:val="00217497"/>
    <w:rsid w:val="00217565"/>
    <w:rsid w:val="0021757C"/>
    <w:rsid w:val="00217691"/>
    <w:rsid w:val="00217A11"/>
    <w:rsid w:val="00217A5B"/>
    <w:rsid w:val="00217CD5"/>
    <w:rsid w:val="00217F0C"/>
    <w:rsid w:val="0022020D"/>
    <w:rsid w:val="00220322"/>
    <w:rsid w:val="0022035A"/>
    <w:rsid w:val="002203A3"/>
    <w:rsid w:val="00220427"/>
    <w:rsid w:val="00220534"/>
    <w:rsid w:val="00220730"/>
    <w:rsid w:val="00220991"/>
    <w:rsid w:val="002209C9"/>
    <w:rsid w:val="00220CB7"/>
    <w:rsid w:val="00220CC2"/>
    <w:rsid w:val="00220ED8"/>
    <w:rsid w:val="00220F55"/>
    <w:rsid w:val="00221893"/>
    <w:rsid w:val="00221965"/>
    <w:rsid w:val="002219EF"/>
    <w:rsid w:val="00221B01"/>
    <w:rsid w:val="00221DF0"/>
    <w:rsid w:val="002222FA"/>
    <w:rsid w:val="00222347"/>
    <w:rsid w:val="00222702"/>
    <w:rsid w:val="0022271B"/>
    <w:rsid w:val="00222A3A"/>
    <w:rsid w:val="00222A88"/>
    <w:rsid w:val="00222AF7"/>
    <w:rsid w:val="00222C89"/>
    <w:rsid w:val="00222D78"/>
    <w:rsid w:val="00223036"/>
    <w:rsid w:val="002233F1"/>
    <w:rsid w:val="0022380C"/>
    <w:rsid w:val="0022381E"/>
    <w:rsid w:val="00223BA6"/>
    <w:rsid w:val="00223C33"/>
    <w:rsid w:val="00223CB9"/>
    <w:rsid w:val="00223F10"/>
    <w:rsid w:val="0022400F"/>
    <w:rsid w:val="00224053"/>
    <w:rsid w:val="00224203"/>
    <w:rsid w:val="00224A77"/>
    <w:rsid w:val="00224D2A"/>
    <w:rsid w:val="00224D74"/>
    <w:rsid w:val="00224D96"/>
    <w:rsid w:val="00224EF6"/>
    <w:rsid w:val="002250C5"/>
    <w:rsid w:val="0022525E"/>
    <w:rsid w:val="002253DD"/>
    <w:rsid w:val="002254C2"/>
    <w:rsid w:val="00225506"/>
    <w:rsid w:val="0022559F"/>
    <w:rsid w:val="00225648"/>
    <w:rsid w:val="002258AF"/>
    <w:rsid w:val="00225924"/>
    <w:rsid w:val="00225984"/>
    <w:rsid w:val="00225AD3"/>
    <w:rsid w:val="00225E4B"/>
    <w:rsid w:val="002264A2"/>
    <w:rsid w:val="00226A2A"/>
    <w:rsid w:val="00226FAF"/>
    <w:rsid w:val="0022708E"/>
    <w:rsid w:val="002270F7"/>
    <w:rsid w:val="002273AC"/>
    <w:rsid w:val="0022744F"/>
    <w:rsid w:val="002274BB"/>
    <w:rsid w:val="002277C9"/>
    <w:rsid w:val="002277CD"/>
    <w:rsid w:val="00227977"/>
    <w:rsid w:val="00227AFA"/>
    <w:rsid w:val="00227D0B"/>
    <w:rsid w:val="00227D52"/>
    <w:rsid w:val="00227EEF"/>
    <w:rsid w:val="0023036F"/>
    <w:rsid w:val="00230379"/>
    <w:rsid w:val="002303BC"/>
    <w:rsid w:val="00230412"/>
    <w:rsid w:val="002307BD"/>
    <w:rsid w:val="00230C99"/>
    <w:rsid w:val="00230C9B"/>
    <w:rsid w:val="00230D4F"/>
    <w:rsid w:val="0023111F"/>
    <w:rsid w:val="00231169"/>
    <w:rsid w:val="00231343"/>
    <w:rsid w:val="00231698"/>
    <w:rsid w:val="002317DA"/>
    <w:rsid w:val="00231868"/>
    <w:rsid w:val="00231A6A"/>
    <w:rsid w:val="00231FA7"/>
    <w:rsid w:val="002321B9"/>
    <w:rsid w:val="002321D6"/>
    <w:rsid w:val="002324DB"/>
    <w:rsid w:val="00232581"/>
    <w:rsid w:val="00232583"/>
    <w:rsid w:val="002325A8"/>
    <w:rsid w:val="002325C8"/>
    <w:rsid w:val="002325E6"/>
    <w:rsid w:val="00232650"/>
    <w:rsid w:val="00232730"/>
    <w:rsid w:val="00232738"/>
    <w:rsid w:val="0023281A"/>
    <w:rsid w:val="00232846"/>
    <w:rsid w:val="0023295F"/>
    <w:rsid w:val="00232967"/>
    <w:rsid w:val="00232D1A"/>
    <w:rsid w:val="00232E3B"/>
    <w:rsid w:val="0023331E"/>
    <w:rsid w:val="002336E6"/>
    <w:rsid w:val="002338C5"/>
    <w:rsid w:val="00233953"/>
    <w:rsid w:val="00233A5F"/>
    <w:rsid w:val="00233B69"/>
    <w:rsid w:val="00233BEA"/>
    <w:rsid w:val="00233F68"/>
    <w:rsid w:val="00234063"/>
    <w:rsid w:val="002342ED"/>
    <w:rsid w:val="002344F6"/>
    <w:rsid w:val="00234518"/>
    <w:rsid w:val="002347CA"/>
    <w:rsid w:val="00234AB9"/>
    <w:rsid w:val="00234C20"/>
    <w:rsid w:val="00234C3A"/>
    <w:rsid w:val="00234ECE"/>
    <w:rsid w:val="00235293"/>
    <w:rsid w:val="002352D6"/>
    <w:rsid w:val="002354BB"/>
    <w:rsid w:val="002356A2"/>
    <w:rsid w:val="00235898"/>
    <w:rsid w:val="002359F0"/>
    <w:rsid w:val="00235AB1"/>
    <w:rsid w:val="00235AFB"/>
    <w:rsid w:val="00235B93"/>
    <w:rsid w:val="00235DFC"/>
    <w:rsid w:val="00235E0F"/>
    <w:rsid w:val="00235E26"/>
    <w:rsid w:val="00235E45"/>
    <w:rsid w:val="00235E72"/>
    <w:rsid w:val="00235E99"/>
    <w:rsid w:val="0023633A"/>
    <w:rsid w:val="002363A1"/>
    <w:rsid w:val="0023665E"/>
    <w:rsid w:val="002367DF"/>
    <w:rsid w:val="00236B50"/>
    <w:rsid w:val="00236BCB"/>
    <w:rsid w:val="00236ED2"/>
    <w:rsid w:val="00237263"/>
    <w:rsid w:val="00237341"/>
    <w:rsid w:val="00237EA6"/>
    <w:rsid w:val="002401FC"/>
    <w:rsid w:val="0024054E"/>
    <w:rsid w:val="0024064E"/>
    <w:rsid w:val="0024069B"/>
    <w:rsid w:val="002407B7"/>
    <w:rsid w:val="0024086B"/>
    <w:rsid w:val="00240900"/>
    <w:rsid w:val="00240A3C"/>
    <w:rsid w:val="00240BC7"/>
    <w:rsid w:val="00240E08"/>
    <w:rsid w:val="0024110D"/>
    <w:rsid w:val="002412D9"/>
    <w:rsid w:val="0024134E"/>
    <w:rsid w:val="00241487"/>
    <w:rsid w:val="0024151F"/>
    <w:rsid w:val="0024195C"/>
    <w:rsid w:val="00241ACC"/>
    <w:rsid w:val="00241C38"/>
    <w:rsid w:val="00241CDF"/>
    <w:rsid w:val="00241D6A"/>
    <w:rsid w:val="00241EB4"/>
    <w:rsid w:val="002421A6"/>
    <w:rsid w:val="0024227F"/>
    <w:rsid w:val="0024246D"/>
    <w:rsid w:val="00242562"/>
    <w:rsid w:val="00242745"/>
    <w:rsid w:val="0024283F"/>
    <w:rsid w:val="0024295A"/>
    <w:rsid w:val="00242B5C"/>
    <w:rsid w:val="00242C41"/>
    <w:rsid w:val="00242C8D"/>
    <w:rsid w:val="00242F17"/>
    <w:rsid w:val="00243497"/>
    <w:rsid w:val="002434D1"/>
    <w:rsid w:val="00243537"/>
    <w:rsid w:val="00243AA6"/>
    <w:rsid w:val="00243B4C"/>
    <w:rsid w:val="00243D7C"/>
    <w:rsid w:val="00243E15"/>
    <w:rsid w:val="0024403A"/>
    <w:rsid w:val="002441F9"/>
    <w:rsid w:val="00244490"/>
    <w:rsid w:val="002446ED"/>
    <w:rsid w:val="00244770"/>
    <w:rsid w:val="002447B2"/>
    <w:rsid w:val="00244AEE"/>
    <w:rsid w:val="00244D10"/>
    <w:rsid w:val="00244E4A"/>
    <w:rsid w:val="00244E54"/>
    <w:rsid w:val="00244E91"/>
    <w:rsid w:val="00245127"/>
    <w:rsid w:val="0024521A"/>
    <w:rsid w:val="0024535E"/>
    <w:rsid w:val="002456C9"/>
    <w:rsid w:val="0024579F"/>
    <w:rsid w:val="00245835"/>
    <w:rsid w:val="00245885"/>
    <w:rsid w:val="00245C76"/>
    <w:rsid w:val="00245DDA"/>
    <w:rsid w:val="00246038"/>
    <w:rsid w:val="00246111"/>
    <w:rsid w:val="00246418"/>
    <w:rsid w:val="00246814"/>
    <w:rsid w:val="0024695C"/>
    <w:rsid w:val="002469E5"/>
    <w:rsid w:val="00246ACF"/>
    <w:rsid w:val="00246BE3"/>
    <w:rsid w:val="00246C05"/>
    <w:rsid w:val="00246C06"/>
    <w:rsid w:val="00246E00"/>
    <w:rsid w:val="00246E58"/>
    <w:rsid w:val="00246F49"/>
    <w:rsid w:val="0024708C"/>
    <w:rsid w:val="002476B0"/>
    <w:rsid w:val="002476E0"/>
    <w:rsid w:val="002476FD"/>
    <w:rsid w:val="0024790D"/>
    <w:rsid w:val="00247A3D"/>
    <w:rsid w:val="00250154"/>
    <w:rsid w:val="00250B39"/>
    <w:rsid w:val="00250E03"/>
    <w:rsid w:val="00251145"/>
    <w:rsid w:val="002512F2"/>
    <w:rsid w:val="002515B7"/>
    <w:rsid w:val="002515C9"/>
    <w:rsid w:val="00251674"/>
    <w:rsid w:val="00251730"/>
    <w:rsid w:val="002517A3"/>
    <w:rsid w:val="00251886"/>
    <w:rsid w:val="002518E3"/>
    <w:rsid w:val="00251F26"/>
    <w:rsid w:val="00252078"/>
    <w:rsid w:val="00252119"/>
    <w:rsid w:val="0025220E"/>
    <w:rsid w:val="00252776"/>
    <w:rsid w:val="00252875"/>
    <w:rsid w:val="00252892"/>
    <w:rsid w:val="00252C58"/>
    <w:rsid w:val="00252CE6"/>
    <w:rsid w:val="0025301E"/>
    <w:rsid w:val="00253037"/>
    <w:rsid w:val="00253186"/>
    <w:rsid w:val="002533BF"/>
    <w:rsid w:val="00253657"/>
    <w:rsid w:val="002536D6"/>
    <w:rsid w:val="002537B7"/>
    <w:rsid w:val="00253A94"/>
    <w:rsid w:val="00253B20"/>
    <w:rsid w:val="002541AF"/>
    <w:rsid w:val="00254693"/>
    <w:rsid w:val="00254744"/>
    <w:rsid w:val="00254BE6"/>
    <w:rsid w:val="00254C64"/>
    <w:rsid w:val="00254FB2"/>
    <w:rsid w:val="002551D4"/>
    <w:rsid w:val="002556B5"/>
    <w:rsid w:val="00255BD6"/>
    <w:rsid w:val="00255C8B"/>
    <w:rsid w:val="00255D26"/>
    <w:rsid w:val="00255ED0"/>
    <w:rsid w:val="00255F0D"/>
    <w:rsid w:val="002564BB"/>
    <w:rsid w:val="0025662B"/>
    <w:rsid w:val="00256777"/>
    <w:rsid w:val="00256CB6"/>
    <w:rsid w:val="00256DF3"/>
    <w:rsid w:val="00256FBC"/>
    <w:rsid w:val="002571F4"/>
    <w:rsid w:val="00257380"/>
    <w:rsid w:val="002577B2"/>
    <w:rsid w:val="00257999"/>
    <w:rsid w:val="00257EE6"/>
    <w:rsid w:val="0026033C"/>
    <w:rsid w:val="00260684"/>
    <w:rsid w:val="00260739"/>
    <w:rsid w:val="00260972"/>
    <w:rsid w:val="002609E4"/>
    <w:rsid w:val="00260B34"/>
    <w:rsid w:val="00260C07"/>
    <w:rsid w:val="00260D51"/>
    <w:rsid w:val="00260DCB"/>
    <w:rsid w:val="00260EFD"/>
    <w:rsid w:val="0026164A"/>
    <w:rsid w:val="00261A3B"/>
    <w:rsid w:val="00261D1F"/>
    <w:rsid w:val="00261EB5"/>
    <w:rsid w:val="0026212E"/>
    <w:rsid w:val="0026213E"/>
    <w:rsid w:val="002623BF"/>
    <w:rsid w:val="0026265E"/>
    <w:rsid w:val="002626A8"/>
    <w:rsid w:val="002627A7"/>
    <w:rsid w:val="002628DF"/>
    <w:rsid w:val="00262AF1"/>
    <w:rsid w:val="00262B9F"/>
    <w:rsid w:val="00262C2F"/>
    <w:rsid w:val="00262E72"/>
    <w:rsid w:val="00262F06"/>
    <w:rsid w:val="00262F7F"/>
    <w:rsid w:val="00263221"/>
    <w:rsid w:val="00263263"/>
    <w:rsid w:val="0026329C"/>
    <w:rsid w:val="00263323"/>
    <w:rsid w:val="0026339F"/>
    <w:rsid w:val="002633C2"/>
    <w:rsid w:val="00263444"/>
    <w:rsid w:val="002634F5"/>
    <w:rsid w:val="00263547"/>
    <w:rsid w:val="002638B3"/>
    <w:rsid w:val="00263C1E"/>
    <w:rsid w:val="00263C67"/>
    <w:rsid w:val="00263CF3"/>
    <w:rsid w:val="00263E9E"/>
    <w:rsid w:val="00264148"/>
    <w:rsid w:val="00264207"/>
    <w:rsid w:val="0026430B"/>
    <w:rsid w:val="00264812"/>
    <w:rsid w:val="002648DA"/>
    <w:rsid w:val="00264DD2"/>
    <w:rsid w:val="00264E90"/>
    <w:rsid w:val="00264FF0"/>
    <w:rsid w:val="00265401"/>
    <w:rsid w:val="002655EF"/>
    <w:rsid w:val="00265A29"/>
    <w:rsid w:val="00265C6D"/>
    <w:rsid w:val="00265C6F"/>
    <w:rsid w:val="00265E1B"/>
    <w:rsid w:val="00265EBB"/>
    <w:rsid w:val="0026608A"/>
    <w:rsid w:val="00266222"/>
    <w:rsid w:val="002665C4"/>
    <w:rsid w:val="00266653"/>
    <w:rsid w:val="002667BB"/>
    <w:rsid w:val="0026683A"/>
    <w:rsid w:val="00266A1D"/>
    <w:rsid w:val="00266A39"/>
    <w:rsid w:val="00266B75"/>
    <w:rsid w:val="00266C84"/>
    <w:rsid w:val="00266D2A"/>
    <w:rsid w:val="00266DB4"/>
    <w:rsid w:val="00266F0C"/>
    <w:rsid w:val="00267025"/>
    <w:rsid w:val="00267144"/>
    <w:rsid w:val="0026716C"/>
    <w:rsid w:val="00267198"/>
    <w:rsid w:val="00267444"/>
    <w:rsid w:val="002676D9"/>
    <w:rsid w:val="00267723"/>
    <w:rsid w:val="002678A3"/>
    <w:rsid w:val="0026794E"/>
    <w:rsid w:val="00267B12"/>
    <w:rsid w:val="00267BE7"/>
    <w:rsid w:val="00267C3A"/>
    <w:rsid w:val="00267F1C"/>
    <w:rsid w:val="00270164"/>
    <w:rsid w:val="002701F2"/>
    <w:rsid w:val="002703EC"/>
    <w:rsid w:val="00270B7D"/>
    <w:rsid w:val="00270FAF"/>
    <w:rsid w:val="00270FF5"/>
    <w:rsid w:val="002710D8"/>
    <w:rsid w:val="00271194"/>
    <w:rsid w:val="00271299"/>
    <w:rsid w:val="002714E8"/>
    <w:rsid w:val="00271514"/>
    <w:rsid w:val="0027152C"/>
    <w:rsid w:val="0027156D"/>
    <w:rsid w:val="00271674"/>
    <w:rsid w:val="002716C0"/>
    <w:rsid w:val="00271BB2"/>
    <w:rsid w:val="00271FF3"/>
    <w:rsid w:val="002721DF"/>
    <w:rsid w:val="002723D6"/>
    <w:rsid w:val="0027241C"/>
    <w:rsid w:val="00272433"/>
    <w:rsid w:val="00272651"/>
    <w:rsid w:val="00272753"/>
    <w:rsid w:val="00272836"/>
    <w:rsid w:val="002729BB"/>
    <w:rsid w:val="00272AA0"/>
    <w:rsid w:val="00272C42"/>
    <w:rsid w:val="002730B2"/>
    <w:rsid w:val="002731C8"/>
    <w:rsid w:val="0027344F"/>
    <w:rsid w:val="00273585"/>
    <w:rsid w:val="002736C6"/>
    <w:rsid w:val="002736F3"/>
    <w:rsid w:val="0027388B"/>
    <w:rsid w:val="00273A01"/>
    <w:rsid w:val="00273BDA"/>
    <w:rsid w:val="00273E51"/>
    <w:rsid w:val="00273E68"/>
    <w:rsid w:val="00273F58"/>
    <w:rsid w:val="002740BA"/>
    <w:rsid w:val="002740C3"/>
    <w:rsid w:val="0027410D"/>
    <w:rsid w:val="00274278"/>
    <w:rsid w:val="00274302"/>
    <w:rsid w:val="002744FE"/>
    <w:rsid w:val="002748A0"/>
    <w:rsid w:val="00274987"/>
    <w:rsid w:val="00274A2A"/>
    <w:rsid w:val="00274A52"/>
    <w:rsid w:val="00274A62"/>
    <w:rsid w:val="00274BAA"/>
    <w:rsid w:val="00274BD6"/>
    <w:rsid w:val="00274E0C"/>
    <w:rsid w:val="00274E97"/>
    <w:rsid w:val="00274EE4"/>
    <w:rsid w:val="00274F04"/>
    <w:rsid w:val="002750C4"/>
    <w:rsid w:val="002750E4"/>
    <w:rsid w:val="00275308"/>
    <w:rsid w:val="00275345"/>
    <w:rsid w:val="00275349"/>
    <w:rsid w:val="002755B6"/>
    <w:rsid w:val="00275637"/>
    <w:rsid w:val="0027570E"/>
    <w:rsid w:val="00275873"/>
    <w:rsid w:val="00275913"/>
    <w:rsid w:val="00275977"/>
    <w:rsid w:val="00275B1E"/>
    <w:rsid w:val="00275D7D"/>
    <w:rsid w:val="002760CC"/>
    <w:rsid w:val="002764F2"/>
    <w:rsid w:val="00276509"/>
    <w:rsid w:val="00276548"/>
    <w:rsid w:val="00276A21"/>
    <w:rsid w:val="00277164"/>
    <w:rsid w:val="00277480"/>
    <w:rsid w:val="002775F5"/>
    <w:rsid w:val="00277659"/>
    <w:rsid w:val="002779E1"/>
    <w:rsid w:val="00280022"/>
    <w:rsid w:val="002805CA"/>
    <w:rsid w:val="002808B9"/>
    <w:rsid w:val="00280B72"/>
    <w:rsid w:val="00280B95"/>
    <w:rsid w:val="00280E24"/>
    <w:rsid w:val="00280EA8"/>
    <w:rsid w:val="00280FA1"/>
    <w:rsid w:val="002810AA"/>
    <w:rsid w:val="002810EC"/>
    <w:rsid w:val="0028129C"/>
    <w:rsid w:val="002814C9"/>
    <w:rsid w:val="00281BB4"/>
    <w:rsid w:val="00281E0B"/>
    <w:rsid w:val="00281E59"/>
    <w:rsid w:val="00281EB0"/>
    <w:rsid w:val="002820F5"/>
    <w:rsid w:val="002823BF"/>
    <w:rsid w:val="0028257E"/>
    <w:rsid w:val="0028280C"/>
    <w:rsid w:val="002828CE"/>
    <w:rsid w:val="00282AEE"/>
    <w:rsid w:val="00282C48"/>
    <w:rsid w:val="00282C7A"/>
    <w:rsid w:val="00282E29"/>
    <w:rsid w:val="00282F1A"/>
    <w:rsid w:val="002832BE"/>
    <w:rsid w:val="0028338C"/>
    <w:rsid w:val="00283495"/>
    <w:rsid w:val="002835FD"/>
    <w:rsid w:val="00283A2E"/>
    <w:rsid w:val="00283B1C"/>
    <w:rsid w:val="00283D91"/>
    <w:rsid w:val="00284483"/>
    <w:rsid w:val="00284623"/>
    <w:rsid w:val="00284677"/>
    <w:rsid w:val="00284695"/>
    <w:rsid w:val="00284814"/>
    <w:rsid w:val="00284849"/>
    <w:rsid w:val="00284BDF"/>
    <w:rsid w:val="00284C1F"/>
    <w:rsid w:val="00284F3B"/>
    <w:rsid w:val="00284F9A"/>
    <w:rsid w:val="0028549D"/>
    <w:rsid w:val="002855BC"/>
    <w:rsid w:val="002856B1"/>
    <w:rsid w:val="002857D6"/>
    <w:rsid w:val="0028596B"/>
    <w:rsid w:val="00285BC9"/>
    <w:rsid w:val="00285CBA"/>
    <w:rsid w:val="00285D5B"/>
    <w:rsid w:val="00285D7C"/>
    <w:rsid w:val="00285E2E"/>
    <w:rsid w:val="00285E6C"/>
    <w:rsid w:val="00285F9B"/>
    <w:rsid w:val="002865E0"/>
    <w:rsid w:val="0028662D"/>
    <w:rsid w:val="00286651"/>
    <w:rsid w:val="00286B3F"/>
    <w:rsid w:val="00286C07"/>
    <w:rsid w:val="00286CC2"/>
    <w:rsid w:val="00286E4F"/>
    <w:rsid w:val="00287047"/>
    <w:rsid w:val="00287449"/>
    <w:rsid w:val="00287505"/>
    <w:rsid w:val="002878BE"/>
    <w:rsid w:val="00287E1F"/>
    <w:rsid w:val="00287E9A"/>
    <w:rsid w:val="00287F90"/>
    <w:rsid w:val="002905D1"/>
    <w:rsid w:val="002908CA"/>
    <w:rsid w:val="002909D3"/>
    <w:rsid w:val="00290BCE"/>
    <w:rsid w:val="00290D6A"/>
    <w:rsid w:val="00290ECF"/>
    <w:rsid w:val="00290F62"/>
    <w:rsid w:val="00290FF0"/>
    <w:rsid w:val="002912F6"/>
    <w:rsid w:val="002913AD"/>
    <w:rsid w:val="002915D8"/>
    <w:rsid w:val="00291A8C"/>
    <w:rsid w:val="00291A8D"/>
    <w:rsid w:val="00291CEA"/>
    <w:rsid w:val="00291E79"/>
    <w:rsid w:val="0029200F"/>
    <w:rsid w:val="00292107"/>
    <w:rsid w:val="00292164"/>
    <w:rsid w:val="00292177"/>
    <w:rsid w:val="00292185"/>
    <w:rsid w:val="00292353"/>
    <w:rsid w:val="002923FF"/>
    <w:rsid w:val="002924B6"/>
    <w:rsid w:val="002925A9"/>
    <w:rsid w:val="002927A9"/>
    <w:rsid w:val="00292830"/>
    <w:rsid w:val="002928AE"/>
    <w:rsid w:val="00292A53"/>
    <w:rsid w:val="002931B0"/>
    <w:rsid w:val="0029344D"/>
    <w:rsid w:val="0029369A"/>
    <w:rsid w:val="0029372C"/>
    <w:rsid w:val="00293C50"/>
    <w:rsid w:val="0029409A"/>
    <w:rsid w:val="0029435A"/>
    <w:rsid w:val="002943B5"/>
    <w:rsid w:val="00294530"/>
    <w:rsid w:val="002945E5"/>
    <w:rsid w:val="00294936"/>
    <w:rsid w:val="002949F5"/>
    <w:rsid w:val="00294BFB"/>
    <w:rsid w:val="00294C86"/>
    <w:rsid w:val="00294D3E"/>
    <w:rsid w:val="00294F0B"/>
    <w:rsid w:val="002950C2"/>
    <w:rsid w:val="0029522A"/>
    <w:rsid w:val="0029534E"/>
    <w:rsid w:val="002957B1"/>
    <w:rsid w:val="00295905"/>
    <w:rsid w:val="002959AF"/>
    <w:rsid w:val="00295D09"/>
    <w:rsid w:val="00295E39"/>
    <w:rsid w:val="00295E3A"/>
    <w:rsid w:val="00295EB4"/>
    <w:rsid w:val="00296318"/>
    <w:rsid w:val="002963D5"/>
    <w:rsid w:val="002966CE"/>
    <w:rsid w:val="0029677E"/>
    <w:rsid w:val="002967D7"/>
    <w:rsid w:val="00296834"/>
    <w:rsid w:val="00296CFA"/>
    <w:rsid w:val="002970FA"/>
    <w:rsid w:val="0029719D"/>
    <w:rsid w:val="00297268"/>
    <w:rsid w:val="0029730F"/>
    <w:rsid w:val="0029746C"/>
    <w:rsid w:val="0029748E"/>
    <w:rsid w:val="002975FC"/>
    <w:rsid w:val="00297765"/>
    <w:rsid w:val="002977E0"/>
    <w:rsid w:val="00297913"/>
    <w:rsid w:val="00297CDA"/>
    <w:rsid w:val="00297E5D"/>
    <w:rsid w:val="00297FDA"/>
    <w:rsid w:val="002A015E"/>
    <w:rsid w:val="002A01B5"/>
    <w:rsid w:val="002A03D1"/>
    <w:rsid w:val="002A03DE"/>
    <w:rsid w:val="002A059D"/>
    <w:rsid w:val="002A085A"/>
    <w:rsid w:val="002A0C81"/>
    <w:rsid w:val="002A0CC7"/>
    <w:rsid w:val="002A0F50"/>
    <w:rsid w:val="002A11B9"/>
    <w:rsid w:val="002A137B"/>
    <w:rsid w:val="002A19A3"/>
    <w:rsid w:val="002A1C32"/>
    <w:rsid w:val="002A220C"/>
    <w:rsid w:val="002A2496"/>
    <w:rsid w:val="002A24E9"/>
    <w:rsid w:val="002A2510"/>
    <w:rsid w:val="002A27D6"/>
    <w:rsid w:val="002A2BE9"/>
    <w:rsid w:val="002A2CB4"/>
    <w:rsid w:val="002A2CDE"/>
    <w:rsid w:val="002A2DC7"/>
    <w:rsid w:val="002A2FBF"/>
    <w:rsid w:val="002A3014"/>
    <w:rsid w:val="002A37C4"/>
    <w:rsid w:val="002A3AB9"/>
    <w:rsid w:val="002A3DB8"/>
    <w:rsid w:val="002A3F22"/>
    <w:rsid w:val="002A3FD8"/>
    <w:rsid w:val="002A4192"/>
    <w:rsid w:val="002A4414"/>
    <w:rsid w:val="002A4782"/>
    <w:rsid w:val="002A4800"/>
    <w:rsid w:val="002A4EB5"/>
    <w:rsid w:val="002A56BE"/>
    <w:rsid w:val="002A56E9"/>
    <w:rsid w:val="002A5762"/>
    <w:rsid w:val="002A5793"/>
    <w:rsid w:val="002A5859"/>
    <w:rsid w:val="002A5D01"/>
    <w:rsid w:val="002A5E06"/>
    <w:rsid w:val="002A5E5F"/>
    <w:rsid w:val="002A5F5E"/>
    <w:rsid w:val="002A6179"/>
    <w:rsid w:val="002A6188"/>
    <w:rsid w:val="002A61F9"/>
    <w:rsid w:val="002A63F3"/>
    <w:rsid w:val="002A6452"/>
    <w:rsid w:val="002A6595"/>
    <w:rsid w:val="002A68EF"/>
    <w:rsid w:val="002A6F12"/>
    <w:rsid w:val="002A6F8E"/>
    <w:rsid w:val="002A718A"/>
    <w:rsid w:val="002A723A"/>
    <w:rsid w:val="002A73B1"/>
    <w:rsid w:val="002A76A0"/>
    <w:rsid w:val="002A7814"/>
    <w:rsid w:val="002A7923"/>
    <w:rsid w:val="002A7A34"/>
    <w:rsid w:val="002A7B71"/>
    <w:rsid w:val="002B0218"/>
    <w:rsid w:val="002B0489"/>
    <w:rsid w:val="002B04B4"/>
    <w:rsid w:val="002B06B8"/>
    <w:rsid w:val="002B09E5"/>
    <w:rsid w:val="002B09F9"/>
    <w:rsid w:val="002B0D36"/>
    <w:rsid w:val="002B0DE0"/>
    <w:rsid w:val="002B0EF8"/>
    <w:rsid w:val="002B0F5C"/>
    <w:rsid w:val="002B1093"/>
    <w:rsid w:val="002B12DC"/>
    <w:rsid w:val="002B1389"/>
    <w:rsid w:val="002B147F"/>
    <w:rsid w:val="002B16EE"/>
    <w:rsid w:val="002B1A2E"/>
    <w:rsid w:val="002B1A8C"/>
    <w:rsid w:val="002B1B41"/>
    <w:rsid w:val="002B1BB1"/>
    <w:rsid w:val="002B1CF8"/>
    <w:rsid w:val="002B1EC2"/>
    <w:rsid w:val="002B2335"/>
    <w:rsid w:val="002B2BF1"/>
    <w:rsid w:val="002B2D99"/>
    <w:rsid w:val="002B30B4"/>
    <w:rsid w:val="002B3355"/>
    <w:rsid w:val="002B349E"/>
    <w:rsid w:val="002B362C"/>
    <w:rsid w:val="002B36F9"/>
    <w:rsid w:val="002B3809"/>
    <w:rsid w:val="002B38F2"/>
    <w:rsid w:val="002B393D"/>
    <w:rsid w:val="002B3A1B"/>
    <w:rsid w:val="002B3EB6"/>
    <w:rsid w:val="002B41D1"/>
    <w:rsid w:val="002B41FC"/>
    <w:rsid w:val="002B4780"/>
    <w:rsid w:val="002B4AB1"/>
    <w:rsid w:val="002B4AC4"/>
    <w:rsid w:val="002B4C24"/>
    <w:rsid w:val="002B4DC7"/>
    <w:rsid w:val="002B5070"/>
    <w:rsid w:val="002B52D5"/>
    <w:rsid w:val="002B578C"/>
    <w:rsid w:val="002B5CF9"/>
    <w:rsid w:val="002B5EDC"/>
    <w:rsid w:val="002B60C6"/>
    <w:rsid w:val="002B61B2"/>
    <w:rsid w:val="002B62E5"/>
    <w:rsid w:val="002B6492"/>
    <w:rsid w:val="002B64DB"/>
    <w:rsid w:val="002B6C23"/>
    <w:rsid w:val="002B6F5A"/>
    <w:rsid w:val="002B740E"/>
    <w:rsid w:val="002B7579"/>
    <w:rsid w:val="002B784E"/>
    <w:rsid w:val="002B785E"/>
    <w:rsid w:val="002B7904"/>
    <w:rsid w:val="002B7A66"/>
    <w:rsid w:val="002B7C53"/>
    <w:rsid w:val="002B7C74"/>
    <w:rsid w:val="002B7CD4"/>
    <w:rsid w:val="002B7EA2"/>
    <w:rsid w:val="002B7EE8"/>
    <w:rsid w:val="002C0048"/>
    <w:rsid w:val="002C01C1"/>
    <w:rsid w:val="002C05A4"/>
    <w:rsid w:val="002C05AF"/>
    <w:rsid w:val="002C05E8"/>
    <w:rsid w:val="002C064B"/>
    <w:rsid w:val="002C06CF"/>
    <w:rsid w:val="002C09E4"/>
    <w:rsid w:val="002C0A13"/>
    <w:rsid w:val="002C0B58"/>
    <w:rsid w:val="002C0CB2"/>
    <w:rsid w:val="002C0D29"/>
    <w:rsid w:val="002C0F0D"/>
    <w:rsid w:val="002C0FE5"/>
    <w:rsid w:val="002C14A6"/>
    <w:rsid w:val="002C1626"/>
    <w:rsid w:val="002C1D79"/>
    <w:rsid w:val="002C1E4E"/>
    <w:rsid w:val="002C21CC"/>
    <w:rsid w:val="002C2351"/>
    <w:rsid w:val="002C2361"/>
    <w:rsid w:val="002C2493"/>
    <w:rsid w:val="002C2599"/>
    <w:rsid w:val="002C25A3"/>
    <w:rsid w:val="002C266A"/>
    <w:rsid w:val="002C29BF"/>
    <w:rsid w:val="002C2ADF"/>
    <w:rsid w:val="002C2BC0"/>
    <w:rsid w:val="002C2D43"/>
    <w:rsid w:val="002C33C0"/>
    <w:rsid w:val="002C357B"/>
    <w:rsid w:val="002C361E"/>
    <w:rsid w:val="002C36C3"/>
    <w:rsid w:val="002C36C5"/>
    <w:rsid w:val="002C3774"/>
    <w:rsid w:val="002C3859"/>
    <w:rsid w:val="002C3D08"/>
    <w:rsid w:val="002C3E4B"/>
    <w:rsid w:val="002C3F45"/>
    <w:rsid w:val="002C42D4"/>
    <w:rsid w:val="002C431B"/>
    <w:rsid w:val="002C45C7"/>
    <w:rsid w:val="002C4935"/>
    <w:rsid w:val="002C4D6D"/>
    <w:rsid w:val="002C4E92"/>
    <w:rsid w:val="002C50C7"/>
    <w:rsid w:val="002C5131"/>
    <w:rsid w:val="002C5578"/>
    <w:rsid w:val="002C573E"/>
    <w:rsid w:val="002C57D2"/>
    <w:rsid w:val="002C5866"/>
    <w:rsid w:val="002C632E"/>
    <w:rsid w:val="002C6334"/>
    <w:rsid w:val="002C6368"/>
    <w:rsid w:val="002C63BF"/>
    <w:rsid w:val="002C64F4"/>
    <w:rsid w:val="002C66B8"/>
    <w:rsid w:val="002C6899"/>
    <w:rsid w:val="002C693E"/>
    <w:rsid w:val="002C6A21"/>
    <w:rsid w:val="002C6D77"/>
    <w:rsid w:val="002C6E7C"/>
    <w:rsid w:val="002C6E9D"/>
    <w:rsid w:val="002C6F51"/>
    <w:rsid w:val="002C6FCF"/>
    <w:rsid w:val="002C70FC"/>
    <w:rsid w:val="002C783C"/>
    <w:rsid w:val="002C795D"/>
    <w:rsid w:val="002C7DFF"/>
    <w:rsid w:val="002D0078"/>
    <w:rsid w:val="002D0413"/>
    <w:rsid w:val="002D0441"/>
    <w:rsid w:val="002D07A6"/>
    <w:rsid w:val="002D0A6D"/>
    <w:rsid w:val="002D0B23"/>
    <w:rsid w:val="002D0B2B"/>
    <w:rsid w:val="002D0C10"/>
    <w:rsid w:val="002D0C99"/>
    <w:rsid w:val="002D0DAD"/>
    <w:rsid w:val="002D0FED"/>
    <w:rsid w:val="002D11EA"/>
    <w:rsid w:val="002D1389"/>
    <w:rsid w:val="002D1491"/>
    <w:rsid w:val="002D165C"/>
    <w:rsid w:val="002D1709"/>
    <w:rsid w:val="002D1831"/>
    <w:rsid w:val="002D184C"/>
    <w:rsid w:val="002D1907"/>
    <w:rsid w:val="002D1A1E"/>
    <w:rsid w:val="002D1A9E"/>
    <w:rsid w:val="002D1AD3"/>
    <w:rsid w:val="002D1B86"/>
    <w:rsid w:val="002D1C86"/>
    <w:rsid w:val="002D1D15"/>
    <w:rsid w:val="002D1D77"/>
    <w:rsid w:val="002D1F29"/>
    <w:rsid w:val="002D1FCB"/>
    <w:rsid w:val="002D1FD3"/>
    <w:rsid w:val="002D2041"/>
    <w:rsid w:val="002D2301"/>
    <w:rsid w:val="002D2307"/>
    <w:rsid w:val="002D23BE"/>
    <w:rsid w:val="002D23E3"/>
    <w:rsid w:val="002D25ED"/>
    <w:rsid w:val="002D266C"/>
    <w:rsid w:val="002D292B"/>
    <w:rsid w:val="002D2963"/>
    <w:rsid w:val="002D2A02"/>
    <w:rsid w:val="002D2C8A"/>
    <w:rsid w:val="002D2D02"/>
    <w:rsid w:val="002D332E"/>
    <w:rsid w:val="002D3392"/>
    <w:rsid w:val="002D36EA"/>
    <w:rsid w:val="002D3AAC"/>
    <w:rsid w:val="002D3B02"/>
    <w:rsid w:val="002D3FCC"/>
    <w:rsid w:val="002D4060"/>
    <w:rsid w:val="002D4248"/>
    <w:rsid w:val="002D4354"/>
    <w:rsid w:val="002D48B6"/>
    <w:rsid w:val="002D4A8B"/>
    <w:rsid w:val="002D4C4A"/>
    <w:rsid w:val="002D4D24"/>
    <w:rsid w:val="002D4F5C"/>
    <w:rsid w:val="002D50FF"/>
    <w:rsid w:val="002D527D"/>
    <w:rsid w:val="002D52AB"/>
    <w:rsid w:val="002D5441"/>
    <w:rsid w:val="002D59C0"/>
    <w:rsid w:val="002D5AE0"/>
    <w:rsid w:val="002D5D3C"/>
    <w:rsid w:val="002D5DF8"/>
    <w:rsid w:val="002D5E69"/>
    <w:rsid w:val="002D60D1"/>
    <w:rsid w:val="002D62E3"/>
    <w:rsid w:val="002D6534"/>
    <w:rsid w:val="002D6625"/>
    <w:rsid w:val="002D66BF"/>
    <w:rsid w:val="002D682B"/>
    <w:rsid w:val="002D6ADB"/>
    <w:rsid w:val="002D6B6B"/>
    <w:rsid w:val="002D6C86"/>
    <w:rsid w:val="002D6FBF"/>
    <w:rsid w:val="002D7118"/>
    <w:rsid w:val="002D72C0"/>
    <w:rsid w:val="002D76C2"/>
    <w:rsid w:val="002D78A5"/>
    <w:rsid w:val="002D7964"/>
    <w:rsid w:val="002D7AFE"/>
    <w:rsid w:val="002D7D67"/>
    <w:rsid w:val="002D7FC0"/>
    <w:rsid w:val="002E004D"/>
    <w:rsid w:val="002E00E7"/>
    <w:rsid w:val="002E046B"/>
    <w:rsid w:val="002E04B3"/>
    <w:rsid w:val="002E0786"/>
    <w:rsid w:val="002E0A80"/>
    <w:rsid w:val="002E0A81"/>
    <w:rsid w:val="002E0CBE"/>
    <w:rsid w:val="002E0E35"/>
    <w:rsid w:val="002E0FC3"/>
    <w:rsid w:val="002E100C"/>
    <w:rsid w:val="002E14D4"/>
    <w:rsid w:val="002E1658"/>
    <w:rsid w:val="002E170D"/>
    <w:rsid w:val="002E1BB8"/>
    <w:rsid w:val="002E20F8"/>
    <w:rsid w:val="002E230D"/>
    <w:rsid w:val="002E235F"/>
    <w:rsid w:val="002E246E"/>
    <w:rsid w:val="002E2597"/>
    <w:rsid w:val="002E26ED"/>
    <w:rsid w:val="002E27CC"/>
    <w:rsid w:val="002E2997"/>
    <w:rsid w:val="002E2BC4"/>
    <w:rsid w:val="002E2D43"/>
    <w:rsid w:val="002E330E"/>
    <w:rsid w:val="002E3684"/>
    <w:rsid w:val="002E39EB"/>
    <w:rsid w:val="002E3B57"/>
    <w:rsid w:val="002E3E73"/>
    <w:rsid w:val="002E3EB9"/>
    <w:rsid w:val="002E4128"/>
    <w:rsid w:val="002E412D"/>
    <w:rsid w:val="002E4445"/>
    <w:rsid w:val="002E471C"/>
    <w:rsid w:val="002E47FD"/>
    <w:rsid w:val="002E48A8"/>
    <w:rsid w:val="002E48AC"/>
    <w:rsid w:val="002E4BAC"/>
    <w:rsid w:val="002E4CBE"/>
    <w:rsid w:val="002E4D08"/>
    <w:rsid w:val="002E4D8F"/>
    <w:rsid w:val="002E4E04"/>
    <w:rsid w:val="002E4E47"/>
    <w:rsid w:val="002E4E54"/>
    <w:rsid w:val="002E4F91"/>
    <w:rsid w:val="002E5309"/>
    <w:rsid w:val="002E54E3"/>
    <w:rsid w:val="002E5629"/>
    <w:rsid w:val="002E577A"/>
    <w:rsid w:val="002E5816"/>
    <w:rsid w:val="002E5BA7"/>
    <w:rsid w:val="002E5BDE"/>
    <w:rsid w:val="002E5D06"/>
    <w:rsid w:val="002E5D0C"/>
    <w:rsid w:val="002E5F49"/>
    <w:rsid w:val="002E61BE"/>
    <w:rsid w:val="002E6480"/>
    <w:rsid w:val="002E658B"/>
    <w:rsid w:val="002E65AD"/>
    <w:rsid w:val="002E689C"/>
    <w:rsid w:val="002E6975"/>
    <w:rsid w:val="002E7338"/>
    <w:rsid w:val="002E7385"/>
    <w:rsid w:val="002E7737"/>
    <w:rsid w:val="002E780F"/>
    <w:rsid w:val="002E7995"/>
    <w:rsid w:val="002E7B29"/>
    <w:rsid w:val="002E7B98"/>
    <w:rsid w:val="002E7D32"/>
    <w:rsid w:val="002E7D38"/>
    <w:rsid w:val="002E7DBB"/>
    <w:rsid w:val="002F005E"/>
    <w:rsid w:val="002F048D"/>
    <w:rsid w:val="002F055C"/>
    <w:rsid w:val="002F08CE"/>
    <w:rsid w:val="002F0B78"/>
    <w:rsid w:val="002F0CC9"/>
    <w:rsid w:val="002F123A"/>
    <w:rsid w:val="002F13CC"/>
    <w:rsid w:val="002F13E4"/>
    <w:rsid w:val="002F1ACB"/>
    <w:rsid w:val="002F1B07"/>
    <w:rsid w:val="002F1B3D"/>
    <w:rsid w:val="002F1B81"/>
    <w:rsid w:val="002F1FAC"/>
    <w:rsid w:val="002F20D7"/>
    <w:rsid w:val="002F21FF"/>
    <w:rsid w:val="002F2200"/>
    <w:rsid w:val="002F22EA"/>
    <w:rsid w:val="002F2306"/>
    <w:rsid w:val="002F25B4"/>
    <w:rsid w:val="002F25CA"/>
    <w:rsid w:val="002F27B4"/>
    <w:rsid w:val="002F29B9"/>
    <w:rsid w:val="002F2C46"/>
    <w:rsid w:val="002F2C61"/>
    <w:rsid w:val="002F2CC5"/>
    <w:rsid w:val="002F2CE7"/>
    <w:rsid w:val="002F2D07"/>
    <w:rsid w:val="002F2D73"/>
    <w:rsid w:val="002F2FA0"/>
    <w:rsid w:val="002F334B"/>
    <w:rsid w:val="002F3372"/>
    <w:rsid w:val="002F33EA"/>
    <w:rsid w:val="002F34C0"/>
    <w:rsid w:val="002F350D"/>
    <w:rsid w:val="002F3693"/>
    <w:rsid w:val="002F3972"/>
    <w:rsid w:val="002F39F3"/>
    <w:rsid w:val="002F40F6"/>
    <w:rsid w:val="002F4381"/>
    <w:rsid w:val="002F439B"/>
    <w:rsid w:val="002F43E4"/>
    <w:rsid w:val="002F44CE"/>
    <w:rsid w:val="002F488A"/>
    <w:rsid w:val="002F5107"/>
    <w:rsid w:val="002F52D2"/>
    <w:rsid w:val="002F52F2"/>
    <w:rsid w:val="002F5348"/>
    <w:rsid w:val="002F5945"/>
    <w:rsid w:val="002F59D6"/>
    <w:rsid w:val="002F61C5"/>
    <w:rsid w:val="002F6910"/>
    <w:rsid w:val="002F6DAC"/>
    <w:rsid w:val="002F6E8A"/>
    <w:rsid w:val="002F7092"/>
    <w:rsid w:val="002F71F3"/>
    <w:rsid w:val="002F73FE"/>
    <w:rsid w:val="002F7437"/>
    <w:rsid w:val="002F7456"/>
    <w:rsid w:val="002F7481"/>
    <w:rsid w:val="002F7489"/>
    <w:rsid w:val="002F7493"/>
    <w:rsid w:val="002F7744"/>
    <w:rsid w:val="002F7959"/>
    <w:rsid w:val="002F798F"/>
    <w:rsid w:val="002F7C68"/>
    <w:rsid w:val="002F7D76"/>
    <w:rsid w:val="0030010A"/>
    <w:rsid w:val="003003ED"/>
    <w:rsid w:val="00300442"/>
    <w:rsid w:val="0030046A"/>
    <w:rsid w:val="003005D6"/>
    <w:rsid w:val="00300701"/>
    <w:rsid w:val="00300903"/>
    <w:rsid w:val="00300E6E"/>
    <w:rsid w:val="003010B8"/>
    <w:rsid w:val="0030113B"/>
    <w:rsid w:val="003012C4"/>
    <w:rsid w:val="003012E6"/>
    <w:rsid w:val="00301ABF"/>
    <w:rsid w:val="00301EFB"/>
    <w:rsid w:val="0030212E"/>
    <w:rsid w:val="003022BF"/>
    <w:rsid w:val="00302357"/>
    <w:rsid w:val="003025DE"/>
    <w:rsid w:val="0030260C"/>
    <w:rsid w:val="003028CC"/>
    <w:rsid w:val="0030291C"/>
    <w:rsid w:val="00302A96"/>
    <w:rsid w:val="0030316D"/>
    <w:rsid w:val="00303371"/>
    <w:rsid w:val="003035CD"/>
    <w:rsid w:val="0030360F"/>
    <w:rsid w:val="00303968"/>
    <w:rsid w:val="003039FA"/>
    <w:rsid w:val="00303D9A"/>
    <w:rsid w:val="00303EF8"/>
    <w:rsid w:val="003040AF"/>
    <w:rsid w:val="00304194"/>
    <w:rsid w:val="003041EA"/>
    <w:rsid w:val="00304369"/>
    <w:rsid w:val="00304465"/>
    <w:rsid w:val="00304B41"/>
    <w:rsid w:val="00304D8A"/>
    <w:rsid w:val="00305113"/>
    <w:rsid w:val="0030515F"/>
    <w:rsid w:val="003051CD"/>
    <w:rsid w:val="003051ED"/>
    <w:rsid w:val="00305327"/>
    <w:rsid w:val="00305443"/>
    <w:rsid w:val="0030568A"/>
    <w:rsid w:val="00305AE3"/>
    <w:rsid w:val="00305C9E"/>
    <w:rsid w:val="00305FF2"/>
    <w:rsid w:val="00306059"/>
    <w:rsid w:val="003062D3"/>
    <w:rsid w:val="003063F5"/>
    <w:rsid w:val="00306651"/>
    <w:rsid w:val="0030667B"/>
    <w:rsid w:val="003067FC"/>
    <w:rsid w:val="00306A21"/>
    <w:rsid w:val="00306C6A"/>
    <w:rsid w:val="00306F0B"/>
    <w:rsid w:val="00307018"/>
    <w:rsid w:val="00307146"/>
    <w:rsid w:val="00307161"/>
    <w:rsid w:val="00307169"/>
    <w:rsid w:val="00307269"/>
    <w:rsid w:val="003072B5"/>
    <w:rsid w:val="003074B1"/>
    <w:rsid w:val="00307648"/>
    <w:rsid w:val="003076D9"/>
    <w:rsid w:val="003079B8"/>
    <w:rsid w:val="00307CBF"/>
    <w:rsid w:val="00307D28"/>
    <w:rsid w:val="00307F04"/>
    <w:rsid w:val="00307FD3"/>
    <w:rsid w:val="003100E4"/>
    <w:rsid w:val="00310128"/>
    <w:rsid w:val="00310135"/>
    <w:rsid w:val="003101B2"/>
    <w:rsid w:val="0031028C"/>
    <w:rsid w:val="00310321"/>
    <w:rsid w:val="00310574"/>
    <w:rsid w:val="003105B3"/>
    <w:rsid w:val="003106C9"/>
    <w:rsid w:val="003106CD"/>
    <w:rsid w:val="003106EC"/>
    <w:rsid w:val="003107F6"/>
    <w:rsid w:val="00310D0E"/>
    <w:rsid w:val="00310EEA"/>
    <w:rsid w:val="00310F03"/>
    <w:rsid w:val="00310F7D"/>
    <w:rsid w:val="0031103C"/>
    <w:rsid w:val="0031112B"/>
    <w:rsid w:val="003111DF"/>
    <w:rsid w:val="00311577"/>
    <w:rsid w:val="0031168A"/>
    <w:rsid w:val="003116DE"/>
    <w:rsid w:val="0031170C"/>
    <w:rsid w:val="00311901"/>
    <w:rsid w:val="00311946"/>
    <w:rsid w:val="00311A0B"/>
    <w:rsid w:val="00311A24"/>
    <w:rsid w:val="00311C68"/>
    <w:rsid w:val="00311F5E"/>
    <w:rsid w:val="0031208E"/>
    <w:rsid w:val="00312248"/>
    <w:rsid w:val="0031258F"/>
    <w:rsid w:val="003125AA"/>
    <w:rsid w:val="00312764"/>
    <w:rsid w:val="00312AF0"/>
    <w:rsid w:val="00312F0C"/>
    <w:rsid w:val="0031303A"/>
    <w:rsid w:val="003130C3"/>
    <w:rsid w:val="00313309"/>
    <w:rsid w:val="00313380"/>
    <w:rsid w:val="0031340C"/>
    <w:rsid w:val="00313560"/>
    <w:rsid w:val="00313750"/>
    <w:rsid w:val="003137A8"/>
    <w:rsid w:val="003137C8"/>
    <w:rsid w:val="003139B1"/>
    <w:rsid w:val="00313CEE"/>
    <w:rsid w:val="003140DD"/>
    <w:rsid w:val="00314105"/>
    <w:rsid w:val="003141CA"/>
    <w:rsid w:val="0031437A"/>
    <w:rsid w:val="00314601"/>
    <w:rsid w:val="00314985"/>
    <w:rsid w:val="0031498F"/>
    <w:rsid w:val="003149D7"/>
    <w:rsid w:val="00314BCA"/>
    <w:rsid w:val="00315293"/>
    <w:rsid w:val="00315593"/>
    <w:rsid w:val="00315669"/>
    <w:rsid w:val="00315B23"/>
    <w:rsid w:val="00315D88"/>
    <w:rsid w:val="00315EAF"/>
    <w:rsid w:val="0031659A"/>
    <w:rsid w:val="003167BC"/>
    <w:rsid w:val="003168A9"/>
    <w:rsid w:val="003168CB"/>
    <w:rsid w:val="00316C91"/>
    <w:rsid w:val="00316D8B"/>
    <w:rsid w:val="00316E2C"/>
    <w:rsid w:val="00316FEF"/>
    <w:rsid w:val="00317453"/>
    <w:rsid w:val="0031746D"/>
    <w:rsid w:val="0031782E"/>
    <w:rsid w:val="00317C13"/>
    <w:rsid w:val="00317C4E"/>
    <w:rsid w:val="00317C67"/>
    <w:rsid w:val="003200A6"/>
    <w:rsid w:val="003201C3"/>
    <w:rsid w:val="003201D9"/>
    <w:rsid w:val="00320268"/>
    <w:rsid w:val="00320431"/>
    <w:rsid w:val="0032050F"/>
    <w:rsid w:val="003205B8"/>
    <w:rsid w:val="003205DF"/>
    <w:rsid w:val="003206F3"/>
    <w:rsid w:val="00320746"/>
    <w:rsid w:val="0032086F"/>
    <w:rsid w:val="00320A6B"/>
    <w:rsid w:val="00320CBF"/>
    <w:rsid w:val="0032110D"/>
    <w:rsid w:val="003214D5"/>
    <w:rsid w:val="00321612"/>
    <w:rsid w:val="00321755"/>
    <w:rsid w:val="00321902"/>
    <w:rsid w:val="00321BA8"/>
    <w:rsid w:val="00321E1E"/>
    <w:rsid w:val="003221B4"/>
    <w:rsid w:val="003223FD"/>
    <w:rsid w:val="0032286B"/>
    <w:rsid w:val="0032288D"/>
    <w:rsid w:val="00322A5B"/>
    <w:rsid w:val="00322B13"/>
    <w:rsid w:val="00322CE6"/>
    <w:rsid w:val="003231CF"/>
    <w:rsid w:val="003232E3"/>
    <w:rsid w:val="00323310"/>
    <w:rsid w:val="0032361D"/>
    <w:rsid w:val="00323EE2"/>
    <w:rsid w:val="00324212"/>
    <w:rsid w:val="00324236"/>
    <w:rsid w:val="003242DC"/>
    <w:rsid w:val="003244B2"/>
    <w:rsid w:val="003246B7"/>
    <w:rsid w:val="00324847"/>
    <w:rsid w:val="003248BC"/>
    <w:rsid w:val="00324B16"/>
    <w:rsid w:val="00324B3E"/>
    <w:rsid w:val="00324BDA"/>
    <w:rsid w:val="00325017"/>
    <w:rsid w:val="00325083"/>
    <w:rsid w:val="00325153"/>
    <w:rsid w:val="0032533C"/>
    <w:rsid w:val="0032574D"/>
    <w:rsid w:val="00325A64"/>
    <w:rsid w:val="003262B6"/>
    <w:rsid w:val="003263F7"/>
    <w:rsid w:val="003265F0"/>
    <w:rsid w:val="003267CB"/>
    <w:rsid w:val="003269A8"/>
    <w:rsid w:val="00326DD7"/>
    <w:rsid w:val="0032711D"/>
    <w:rsid w:val="00327176"/>
    <w:rsid w:val="00327283"/>
    <w:rsid w:val="003272EB"/>
    <w:rsid w:val="00327428"/>
    <w:rsid w:val="003277BF"/>
    <w:rsid w:val="0032782C"/>
    <w:rsid w:val="003278A9"/>
    <w:rsid w:val="00327BC7"/>
    <w:rsid w:val="00327CB6"/>
    <w:rsid w:val="00327DAC"/>
    <w:rsid w:val="00327E33"/>
    <w:rsid w:val="00327E51"/>
    <w:rsid w:val="00327F1F"/>
    <w:rsid w:val="00327F29"/>
    <w:rsid w:val="00327F85"/>
    <w:rsid w:val="00327FAA"/>
    <w:rsid w:val="003301B6"/>
    <w:rsid w:val="00330343"/>
    <w:rsid w:val="003303C3"/>
    <w:rsid w:val="00330441"/>
    <w:rsid w:val="00330443"/>
    <w:rsid w:val="003307D0"/>
    <w:rsid w:val="0033086E"/>
    <w:rsid w:val="00330C66"/>
    <w:rsid w:val="00330D9C"/>
    <w:rsid w:val="00330DA8"/>
    <w:rsid w:val="00330F1B"/>
    <w:rsid w:val="00330F2A"/>
    <w:rsid w:val="003317F1"/>
    <w:rsid w:val="0033200D"/>
    <w:rsid w:val="003325FA"/>
    <w:rsid w:val="00332AC2"/>
    <w:rsid w:val="00332E45"/>
    <w:rsid w:val="00332F5E"/>
    <w:rsid w:val="00333130"/>
    <w:rsid w:val="00333156"/>
    <w:rsid w:val="003331CC"/>
    <w:rsid w:val="003334D4"/>
    <w:rsid w:val="003335FF"/>
    <w:rsid w:val="00333654"/>
    <w:rsid w:val="00333A67"/>
    <w:rsid w:val="00333C89"/>
    <w:rsid w:val="0033408B"/>
    <w:rsid w:val="00334156"/>
    <w:rsid w:val="003341D6"/>
    <w:rsid w:val="0033432F"/>
    <w:rsid w:val="00334838"/>
    <w:rsid w:val="003348F0"/>
    <w:rsid w:val="00334AB7"/>
    <w:rsid w:val="00334BB4"/>
    <w:rsid w:val="003352F4"/>
    <w:rsid w:val="0033578C"/>
    <w:rsid w:val="00335A1B"/>
    <w:rsid w:val="00335A32"/>
    <w:rsid w:val="00335ADB"/>
    <w:rsid w:val="00335DBB"/>
    <w:rsid w:val="00336058"/>
    <w:rsid w:val="003362D8"/>
    <w:rsid w:val="00336311"/>
    <w:rsid w:val="00336675"/>
    <w:rsid w:val="00336903"/>
    <w:rsid w:val="00336A32"/>
    <w:rsid w:val="00336D55"/>
    <w:rsid w:val="00336E3F"/>
    <w:rsid w:val="00336F75"/>
    <w:rsid w:val="00336F83"/>
    <w:rsid w:val="003372E4"/>
    <w:rsid w:val="003372FB"/>
    <w:rsid w:val="00337433"/>
    <w:rsid w:val="003375CC"/>
    <w:rsid w:val="0033776B"/>
    <w:rsid w:val="00337C15"/>
    <w:rsid w:val="00337DBD"/>
    <w:rsid w:val="00337F95"/>
    <w:rsid w:val="003400A2"/>
    <w:rsid w:val="003400AD"/>
    <w:rsid w:val="003400C7"/>
    <w:rsid w:val="00340377"/>
    <w:rsid w:val="0034048D"/>
    <w:rsid w:val="00340C01"/>
    <w:rsid w:val="00340E53"/>
    <w:rsid w:val="00340E6B"/>
    <w:rsid w:val="00340F36"/>
    <w:rsid w:val="00340FB3"/>
    <w:rsid w:val="0034114E"/>
    <w:rsid w:val="003411CB"/>
    <w:rsid w:val="00341429"/>
    <w:rsid w:val="0034147B"/>
    <w:rsid w:val="00341568"/>
    <w:rsid w:val="0034170B"/>
    <w:rsid w:val="00341729"/>
    <w:rsid w:val="00341A4C"/>
    <w:rsid w:val="00341C1A"/>
    <w:rsid w:val="00341D00"/>
    <w:rsid w:val="00341D20"/>
    <w:rsid w:val="00341D91"/>
    <w:rsid w:val="0034235D"/>
    <w:rsid w:val="003424D6"/>
    <w:rsid w:val="00342948"/>
    <w:rsid w:val="003430F7"/>
    <w:rsid w:val="00343142"/>
    <w:rsid w:val="003432D2"/>
    <w:rsid w:val="003432F3"/>
    <w:rsid w:val="0034364F"/>
    <w:rsid w:val="00343757"/>
    <w:rsid w:val="00343A90"/>
    <w:rsid w:val="00343E35"/>
    <w:rsid w:val="003441CF"/>
    <w:rsid w:val="00344467"/>
    <w:rsid w:val="003445F5"/>
    <w:rsid w:val="003447B8"/>
    <w:rsid w:val="003447C9"/>
    <w:rsid w:val="003449D3"/>
    <w:rsid w:val="00344B7F"/>
    <w:rsid w:val="00344C7D"/>
    <w:rsid w:val="00344D56"/>
    <w:rsid w:val="00344D7C"/>
    <w:rsid w:val="00344D80"/>
    <w:rsid w:val="00344E89"/>
    <w:rsid w:val="00345126"/>
    <w:rsid w:val="00345505"/>
    <w:rsid w:val="003455A4"/>
    <w:rsid w:val="00345680"/>
    <w:rsid w:val="003456E3"/>
    <w:rsid w:val="00345A78"/>
    <w:rsid w:val="00345AE6"/>
    <w:rsid w:val="00345B39"/>
    <w:rsid w:val="00345C6B"/>
    <w:rsid w:val="00345C9C"/>
    <w:rsid w:val="0034620D"/>
    <w:rsid w:val="003462F6"/>
    <w:rsid w:val="00346320"/>
    <w:rsid w:val="003465D1"/>
    <w:rsid w:val="003465EF"/>
    <w:rsid w:val="0034683B"/>
    <w:rsid w:val="003470B0"/>
    <w:rsid w:val="00347343"/>
    <w:rsid w:val="00347634"/>
    <w:rsid w:val="0034763A"/>
    <w:rsid w:val="0034781D"/>
    <w:rsid w:val="00347BC3"/>
    <w:rsid w:val="00350498"/>
    <w:rsid w:val="0035080F"/>
    <w:rsid w:val="0035082C"/>
    <w:rsid w:val="0035082D"/>
    <w:rsid w:val="00350D82"/>
    <w:rsid w:val="003510F6"/>
    <w:rsid w:val="00351369"/>
    <w:rsid w:val="0035161B"/>
    <w:rsid w:val="003517E2"/>
    <w:rsid w:val="003517F7"/>
    <w:rsid w:val="00351803"/>
    <w:rsid w:val="003518FB"/>
    <w:rsid w:val="00351B83"/>
    <w:rsid w:val="00351E07"/>
    <w:rsid w:val="00351F79"/>
    <w:rsid w:val="00352167"/>
    <w:rsid w:val="00352592"/>
    <w:rsid w:val="00352720"/>
    <w:rsid w:val="0035275C"/>
    <w:rsid w:val="003528D1"/>
    <w:rsid w:val="003532B6"/>
    <w:rsid w:val="00353390"/>
    <w:rsid w:val="00353446"/>
    <w:rsid w:val="003535D3"/>
    <w:rsid w:val="00353663"/>
    <w:rsid w:val="00353694"/>
    <w:rsid w:val="003536F4"/>
    <w:rsid w:val="00353947"/>
    <w:rsid w:val="003539D3"/>
    <w:rsid w:val="003539DB"/>
    <w:rsid w:val="00353B6E"/>
    <w:rsid w:val="00353E16"/>
    <w:rsid w:val="003540BD"/>
    <w:rsid w:val="0035430A"/>
    <w:rsid w:val="00354447"/>
    <w:rsid w:val="00354486"/>
    <w:rsid w:val="00354534"/>
    <w:rsid w:val="0035497D"/>
    <w:rsid w:val="00354AAF"/>
    <w:rsid w:val="00354C1D"/>
    <w:rsid w:val="003552F6"/>
    <w:rsid w:val="0035540D"/>
    <w:rsid w:val="00355462"/>
    <w:rsid w:val="003556BE"/>
    <w:rsid w:val="00355783"/>
    <w:rsid w:val="003557E3"/>
    <w:rsid w:val="00355D81"/>
    <w:rsid w:val="00355EE0"/>
    <w:rsid w:val="00356519"/>
    <w:rsid w:val="00356C6C"/>
    <w:rsid w:val="00356C80"/>
    <w:rsid w:val="00356D49"/>
    <w:rsid w:val="00356EF9"/>
    <w:rsid w:val="00356F7C"/>
    <w:rsid w:val="0035700E"/>
    <w:rsid w:val="00357080"/>
    <w:rsid w:val="003570DE"/>
    <w:rsid w:val="003572D9"/>
    <w:rsid w:val="003576BE"/>
    <w:rsid w:val="0035773A"/>
    <w:rsid w:val="003577CB"/>
    <w:rsid w:val="00357B28"/>
    <w:rsid w:val="003602B3"/>
    <w:rsid w:val="00360763"/>
    <w:rsid w:val="00360851"/>
    <w:rsid w:val="00360B2E"/>
    <w:rsid w:val="00360BC6"/>
    <w:rsid w:val="00360CCC"/>
    <w:rsid w:val="00360E52"/>
    <w:rsid w:val="00361337"/>
    <w:rsid w:val="00361508"/>
    <w:rsid w:val="0036150A"/>
    <w:rsid w:val="003616BD"/>
    <w:rsid w:val="003616EF"/>
    <w:rsid w:val="003618BE"/>
    <w:rsid w:val="003619D7"/>
    <w:rsid w:val="00361A17"/>
    <w:rsid w:val="00361AFC"/>
    <w:rsid w:val="00361C9E"/>
    <w:rsid w:val="00361E57"/>
    <w:rsid w:val="00362083"/>
    <w:rsid w:val="00362193"/>
    <w:rsid w:val="00362595"/>
    <w:rsid w:val="003627ED"/>
    <w:rsid w:val="00362863"/>
    <w:rsid w:val="00362A13"/>
    <w:rsid w:val="00362B56"/>
    <w:rsid w:val="003634BC"/>
    <w:rsid w:val="00363973"/>
    <w:rsid w:val="00363C06"/>
    <w:rsid w:val="00363D59"/>
    <w:rsid w:val="00363EF1"/>
    <w:rsid w:val="00363FA2"/>
    <w:rsid w:val="0036403C"/>
    <w:rsid w:val="0036405A"/>
    <w:rsid w:val="00364117"/>
    <w:rsid w:val="0036417D"/>
    <w:rsid w:val="00364432"/>
    <w:rsid w:val="00364953"/>
    <w:rsid w:val="003649C6"/>
    <w:rsid w:val="00364A01"/>
    <w:rsid w:val="00364AB8"/>
    <w:rsid w:val="00365044"/>
    <w:rsid w:val="00365137"/>
    <w:rsid w:val="0036571E"/>
    <w:rsid w:val="00365726"/>
    <w:rsid w:val="00365C0B"/>
    <w:rsid w:val="00365CAE"/>
    <w:rsid w:val="00365D81"/>
    <w:rsid w:val="00365D9A"/>
    <w:rsid w:val="00365F14"/>
    <w:rsid w:val="00365FEC"/>
    <w:rsid w:val="00366370"/>
    <w:rsid w:val="0036683F"/>
    <w:rsid w:val="00366A55"/>
    <w:rsid w:val="00366C7A"/>
    <w:rsid w:val="00366E61"/>
    <w:rsid w:val="00366F16"/>
    <w:rsid w:val="00366FB1"/>
    <w:rsid w:val="00367261"/>
    <w:rsid w:val="00367583"/>
    <w:rsid w:val="0036764E"/>
    <w:rsid w:val="003679D5"/>
    <w:rsid w:val="00367C0B"/>
    <w:rsid w:val="00367DD4"/>
    <w:rsid w:val="00367FD6"/>
    <w:rsid w:val="00370292"/>
    <w:rsid w:val="00370808"/>
    <w:rsid w:val="003708BC"/>
    <w:rsid w:val="00370B6A"/>
    <w:rsid w:val="00370BB5"/>
    <w:rsid w:val="00370D99"/>
    <w:rsid w:val="00370F84"/>
    <w:rsid w:val="003710A4"/>
    <w:rsid w:val="003710EE"/>
    <w:rsid w:val="00371183"/>
    <w:rsid w:val="003715E5"/>
    <w:rsid w:val="003716F9"/>
    <w:rsid w:val="003719A2"/>
    <w:rsid w:val="00371A41"/>
    <w:rsid w:val="00371B8B"/>
    <w:rsid w:val="00371C8B"/>
    <w:rsid w:val="00371F9B"/>
    <w:rsid w:val="003720A3"/>
    <w:rsid w:val="003721AC"/>
    <w:rsid w:val="00372504"/>
    <w:rsid w:val="00372829"/>
    <w:rsid w:val="003729D8"/>
    <w:rsid w:val="003729EF"/>
    <w:rsid w:val="00372AB3"/>
    <w:rsid w:val="00372B38"/>
    <w:rsid w:val="00372B47"/>
    <w:rsid w:val="00372DFE"/>
    <w:rsid w:val="00372F9A"/>
    <w:rsid w:val="0037301B"/>
    <w:rsid w:val="00373122"/>
    <w:rsid w:val="003733ED"/>
    <w:rsid w:val="0037346D"/>
    <w:rsid w:val="003739D8"/>
    <w:rsid w:val="00373B69"/>
    <w:rsid w:val="00373C1F"/>
    <w:rsid w:val="00373CBE"/>
    <w:rsid w:val="00373DF2"/>
    <w:rsid w:val="00373F86"/>
    <w:rsid w:val="00373F87"/>
    <w:rsid w:val="00374326"/>
    <w:rsid w:val="0037444F"/>
    <w:rsid w:val="00374845"/>
    <w:rsid w:val="00374A16"/>
    <w:rsid w:val="00374D5A"/>
    <w:rsid w:val="00374EE1"/>
    <w:rsid w:val="0037574A"/>
    <w:rsid w:val="003757B7"/>
    <w:rsid w:val="00375842"/>
    <w:rsid w:val="003758AF"/>
    <w:rsid w:val="003758E4"/>
    <w:rsid w:val="00375CBF"/>
    <w:rsid w:val="00375EFC"/>
    <w:rsid w:val="00376025"/>
    <w:rsid w:val="00376046"/>
    <w:rsid w:val="0037626F"/>
    <w:rsid w:val="00376368"/>
    <w:rsid w:val="00376770"/>
    <w:rsid w:val="00376D15"/>
    <w:rsid w:val="0037725F"/>
    <w:rsid w:val="003775B2"/>
    <w:rsid w:val="00377B24"/>
    <w:rsid w:val="00377D9B"/>
    <w:rsid w:val="00377E6D"/>
    <w:rsid w:val="00377F2D"/>
    <w:rsid w:val="00380739"/>
    <w:rsid w:val="00380A8A"/>
    <w:rsid w:val="00380CAF"/>
    <w:rsid w:val="00380DBB"/>
    <w:rsid w:val="00381073"/>
    <w:rsid w:val="003814A2"/>
    <w:rsid w:val="00381B06"/>
    <w:rsid w:val="00381B3E"/>
    <w:rsid w:val="00381F33"/>
    <w:rsid w:val="00381FAE"/>
    <w:rsid w:val="0038218A"/>
    <w:rsid w:val="0038265C"/>
    <w:rsid w:val="00382C32"/>
    <w:rsid w:val="00382CAC"/>
    <w:rsid w:val="00382E08"/>
    <w:rsid w:val="00382F25"/>
    <w:rsid w:val="0038305D"/>
    <w:rsid w:val="00383146"/>
    <w:rsid w:val="00383159"/>
    <w:rsid w:val="00383772"/>
    <w:rsid w:val="003837CC"/>
    <w:rsid w:val="003837D0"/>
    <w:rsid w:val="00383B2D"/>
    <w:rsid w:val="00383BB8"/>
    <w:rsid w:val="00383C1B"/>
    <w:rsid w:val="00383C5B"/>
    <w:rsid w:val="003842B7"/>
    <w:rsid w:val="0038440B"/>
    <w:rsid w:val="003844B2"/>
    <w:rsid w:val="00384585"/>
    <w:rsid w:val="0038485D"/>
    <w:rsid w:val="003849BF"/>
    <w:rsid w:val="0038501B"/>
    <w:rsid w:val="003850F0"/>
    <w:rsid w:val="003850FF"/>
    <w:rsid w:val="003851FD"/>
    <w:rsid w:val="0038523F"/>
    <w:rsid w:val="00385260"/>
    <w:rsid w:val="0038547C"/>
    <w:rsid w:val="003854E0"/>
    <w:rsid w:val="00385AB0"/>
    <w:rsid w:val="00385D71"/>
    <w:rsid w:val="00385E9B"/>
    <w:rsid w:val="00385EAA"/>
    <w:rsid w:val="00386313"/>
    <w:rsid w:val="003865B5"/>
    <w:rsid w:val="0038684A"/>
    <w:rsid w:val="0038690F"/>
    <w:rsid w:val="003869D2"/>
    <w:rsid w:val="00386B30"/>
    <w:rsid w:val="00386D33"/>
    <w:rsid w:val="00386E06"/>
    <w:rsid w:val="00387156"/>
    <w:rsid w:val="00387309"/>
    <w:rsid w:val="0038732B"/>
    <w:rsid w:val="00387412"/>
    <w:rsid w:val="0038750F"/>
    <w:rsid w:val="00387586"/>
    <w:rsid w:val="00387805"/>
    <w:rsid w:val="00387871"/>
    <w:rsid w:val="00387BC7"/>
    <w:rsid w:val="00387D31"/>
    <w:rsid w:val="00390257"/>
    <w:rsid w:val="00390382"/>
    <w:rsid w:val="003903EF"/>
    <w:rsid w:val="003904B9"/>
    <w:rsid w:val="00390518"/>
    <w:rsid w:val="00390897"/>
    <w:rsid w:val="003909F9"/>
    <w:rsid w:val="00390A88"/>
    <w:rsid w:val="00390F1E"/>
    <w:rsid w:val="00390FD5"/>
    <w:rsid w:val="00391201"/>
    <w:rsid w:val="003913F4"/>
    <w:rsid w:val="003915DD"/>
    <w:rsid w:val="00391BC7"/>
    <w:rsid w:val="00391DB5"/>
    <w:rsid w:val="00391E29"/>
    <w:rsid w:val="00391EA0"/>
    <w:rsid w:val="00392016"/>
    <w:rsid w:val="003920BB"/>
    <w:rsid w:val="00392258"/>
    <w:rsid w:val="0039229F"/>
    <w:rsid w:val="0039252C"/>
    <w:rsid w:val="00392711"/>
    <w:rsid w:val="003928A9"/>
    <w:rsid w:val="00392961"/>
    <w:rsid w:val="00392965"/>
    <w:rsid w:val="00392966"/>
    <w:rsid w:val="00392BDD"/>
    <w:rsid w:val="00392E84"/>
    <w:rsid w:val="00392E9B"/>
    <w:rsid w:val="00392FEE"/>
    <w:rsid w:val="003936D6"/>
    <w:rsid w:val="003939C6"/>
    <w:rsid w:val="00393A29"/>
    <w:rsid w:val="00393CE2"/>
    <w:rsid w:val="00393D15"/>
    <w:rsid w:val="00393E06"/>
    <w:rsid w:val="00393E6C"/>
    <w:rsid w:val="00393E7C"/>
    <w:rsid w:val="00394187"/>
    <w:rsid w:val="003942A2"/>
    <w:rsid w:val="003942FA"/>
    <w:rsid w:val="00394351"/>
    <w:rsid w:val="0039447D"/>
    <w:rsid w:val="003945A8"/>
    <w:rsid w:val="0039480B"/>
    <w:rsid w:val="00394AAB"/>
    <w:rsid w:val="00394C91"/>
    <w:rsid w:val="00395070"/>
    <w:rsid w:val="0039525D"/>
    <w:rsid w:val="00395362"/>
    <w:rsid w:val="003958DA"/>
    <w:rsid w:val="00395AF2"/>
    <w:rsid w:val="00395C70"/>
    <w:rsid w:val="00395CFE"/>
    <w:rsid w:val="00395F8C"/>
    <w:rsid w:val="00395F9E"/>
    <w:rsid w:val="00395FF9"/>
    <w:rsid w:val="0039620C"/>
    <w:rsid w:val="0039622A"/>
    <w:rsid w:val="00396364"/>
    <w:rsid w:val="00396691"/>
    <w:rsid w:val="00396799"/>
    <w:rsid w:val="003968C2"/>
    <w:rsid w:val="00396A24"/>
    <w:rsid w:val="00396B99"/>
    <w:rsid w:val="00396CB9"/>
    <w:rsid w:val="00396CD7"/>
    <w:rsid w:val="00396F5B"/>
    <w:rsid w:val="00397097"/>
    <w:rsid w:val="00397151"/>
    <w:rsid w:val="00397181"/>
    <w:rsid w:val="00397658"/>
    <w:rsid w:val="0039797F"/>
    <w:rsid w:val="00397BEE"/>
    <w:rsid w:val="00397CF5"/>
    <w:rsid w:val="00397FDE"/>
    <w:rsid w:val="003A0195"/>
    <w:rsid w:val="003A01FC"/>
    <w:rsid w:val="003A0389"/>
    <w:rsid w:val="003A0448"/>
    <w:rsid w:val="003A04F7"/>
    <w:rsid w:val="003A0AF4"/>
    <w:rsid w:val="003A14E1"/>
    <w:rsid w:val="003A16E1"/>
    <w:rsid w:val="003A1720"/>
    <w:rsid w:val="003A1817"/>
    <w:rsid w:val="003A1C6B"/>
    <w:rsid w:val="003A1E23"/>
    <w:rsid w:val="003A245A"/>
    <w:rsid w:val="003A258A"/>
    <w:rsid w:val="003A25E3"/>
    <w:rsid w:val="003A2748"/>
    <w:rsid w:val="003A29D2"/>
    <w:rsid w:val="003A2AD4"/>
    <w:rsid w:val="003A2BC6"/>
    <w:rsid w:val="003A2DAC"/>
    <w:rsid w:val="003A2DE4"/>
    <w:rsid w:val="003A2E65"/>
    <w:rsid w:val="003A30F3"/>
    <w:rsid w:val="003A3105"/>
    <w:rsid w:val="003A31FF"/>
    <w:rsid w:val="003A3205"/>
    <w:rsid w:val="003A3261"/>
    <w:rsid w:val="003A33F0"/>
    <w:rsid w:val="003A33F3"/>
    <w:rsid w:val="003A3602"/>
    <w:rsid w:val="003A39F8"/>
    <w:rsid w:val="003A3B4A"/>
    <w:rsid w:val="003A3BCC"/>
    <w:rsid w:val="003A3D41"/>
    <w:rsid w:val="003A3E7A"/>
    <w:rsid w:val="003A4112"/>
    <w:rsid w:val="003A4175"/>
    <w:rsid w:val="003A42FF"/>
    <w:rsid w:val="003A46AE"/>
    <w:rsid w:val="003A4860"/>
    <w:rsid w:val="003A4863"/>
    <w:rsid w:val="003A4DA2"/>
    <w:rsid w:val="003A4F3F"/>
    <w:rsid w:val="003A537B"/>
    <w:rsid w:val="003A566E"/>
    <w:rsid w:val="003A579F"/>
    <w:rsid w:val="003A586A"/>
    <w:rsid w:val="003A5B4C"/>
    <w:rsid w:val="003A5B95"/>
    <w:rsid w:val="003A5D73"/>
    <w:rsid w:val="003A5EA0"/>
    <w:rsid w:val="003A62AD"/>
    <w:rsid w:val="003A6446"/>
    <w:rsid w:val="003A6451"/>
    <w:rsid w:val="003A669D"/>
    <w:rsid w:val="003A66B2"/>
    <w:rsid w:val="003A6751"/>
    <w:rsid w:val="003A6782"/>
    <w:rsid w:val="003A68A3"/>
    <w:rsid w:val="003A6B68"/>
    <w:rsid w:val="003A6D71"/>
    <w:rsid w:val="003A6DF4"/>
    <w:rsid w:val="003A6F52"/>
    <w:rsid w:val="003A6FD8"/>
    <w:rsid w:val="003A72F2"/>
    <w:rsid w:val="003A7CC6"/>
    <w:rsid w:val="003A7F6A"/>
    <w:rsid w:val="003B0127"/>
    <w:rsid w:val="003B023B"/>
    <w:rsid w:val="003B029B"/>
    <w:rsid w:val="003B03F5"/>
    <w:rsid w:val="003B058B"/>
    <w:rsid w:val="003B09AD"/>
    <w:rsid w:val="003B0A4B"/>
    <w:rsid w:val="003B0A94"/>
    <w:rsid w:val="003B0DC3"/>
    <w:rsid w:val="003B1094"/>
    <w:rsid w:val="003B11F9"/>
    <w:rsid w:val="003B122D"/>
    <w:rsid w:val="003B123A"/>
    <w:rsid w:val="003B146B"/>
    <w:rsid w:val="003B19E5"/>
    <w:rsid w:val="003B1B5A"/>
    <w:rsid w:val="003B1F9E"/>
    <w:rsid w:val="003B2486"/>
    <w:rsid w:val="003B262A"/>
    <w:rsid w:val="003B26E8"/>
    <w:rsid w:val="003B280C"/>
    <w:rsid w:val="003B28A1"/>
    <w:rsid w:val="003B2C4F"/>
    <w:rsid w:val="003B2E64"/>
    <w:rsid w:val="003B2F50"/>
    <w:rsid w:val="003B319A"/>
    <w:rsid w:val="003B3211"/>
    <w:rsid w:val="003B4153"/>
    <w:rsid w:val="003B428E"/>
    <w:rsid w:val="003B4321"/>
    <w:rsid w:val="003B4372"/>
    <w:rsid w:val="003B4719"/>
    <w:rsid w:val="003B48B6"/>
    <w:rsid w:val="003B4943"/>
    <w:rsid w:val="003B4A3E"/>
    <w:rsid w:val="003B4AC4"/>
    <w:rsid w:val="003B4B6C"/>
    <w:rsid w:val="003B4B9C"/>
    <w:rsid w:val="003B4C92"/>
    <w:rsid w:val="003B4C9D"/>
    <w:rsid w:val="003B50DE"/>
    <w:rsid w:val="003B524A"/>
    <w:rsid w:val="003B546D"/>
    <w:rsid w:val="003B55EA"/>
    <w:rsid w:val="003B591F"/>
    <w:rsid w:val="003B5935"/>
    <w:rsid w:val="003B5945"/>
    <w:rsid w:val="003B5AB1"/>
    <w:rsid w:val="003B5B07"/>
    <w:rsid w:val="003B5B1A"/>
    <w:rsid w:val="003B5BF9"/>
    <w:rsid w:val="003B5C73"/>
    <w:rsid w:val="003B5CB0"/>
    <w:rsid w:val="003B5CC1"/>
    <w:rsid w:val="003B5D72"/>
    <w:rsid w:val="003B5E08"/>
    <w:rsid w:val="003B5ED5"/>
    <w:rsid w:val="003B5F25"/>
    <w:rsid w:val="003B604B"/>
    <w:rsid w:val="003B60CC"/>
    <w:rsid w:val="003B60FF"/>
    <w:rsid w:val="003B6128"/>
    <w:rsid w:val="003B638D"/>
    <w:rsid w:val="003B641A"/>
    <w:rsid w:val="003B662F"/>
    <w:rsid w:val="003B6823"/>
    <w:rsid w:val="003B6985"/>
    <w:rsid w:val="003B69E2"/>
    <w:rsid w:val="003B6BE6"/>
    <w:rsid w:val="003B6F5E"/>
    <w:rsid w:val="003B7089"/>
    <w:rsid w:val="003B7478"/>
    <w:rsid w:val="003B74FF"/>
    <w:rsid w:val="003B78B8"/>
    <w:rsid w:val="003B79DE"/>
    <w:rsid w:val="003B79E8"/>
    <w:rsid w:val="003B7C75"/>
    <w:rsid w:val="003C0079"/>
    <w:rsid w:val="003C0103"/>
    <w:rsid w:val="003C01B3"/>
    <w:rsid w:val="003C031B"/>
    <w:rsid w:val="003C06B0"/>
    <w:rsid w:val="003C0969"/>
    <w:rsid w:val="003C0AF2"/>
    <w:rsid w:val="003C0BA1"/>
    <w:rsid w:val="003C0D55"/>
    <w:rsid w:val="003C0D58"/>
    <w:rsid w:val="003C0E45"/>
    <w:rsid w:val="003C10D4"/>
    <w:rsid w:val="003C112C"/>
    <w:rsid w:val="003C11A5"/>
    <w:rsid w:val="003C15D4"/>
    <w:rsid w:val="003C18B6"/>
    <w:rsid w:val="003C1A8A"/>
    <w:rsid w:val="003C1AA8"/>
    <w:rsid w:val="003C1B73"/>
    <w:rsid w:val="003C1C61"/>
    <w:rsid w:val="003C1CBE"/>
    <w:rsid w:val="003C1CD4"/>
    <w:rsid w:val="003C1D94"/>
    <w:rsid w:val="003C1DB3"/>
    <w:rsid w:val="003C1DD7"/>
    <w:rsid w:val="003C208A"/>
    <w:rsid w:val="003C228E"/>
    <w:rsid w:val="003C23E6"/>
    <w:rsid w:val="003C261D"/>
    <w:rsid w:val="003C2712"/>
    <w:rsid w:val="003C2F51"/>
    <w:rsid w:val="003C307E"/>
    <w:rsid w:val="003C3146"/>
    <w:rsid w:val="003C31CE"/>
    <w:rsid w:val="003C3434"/>
    <w:rsid w:val="003C35B8"/>
    <w:rsid w:val="003C396D"/>
    <w:rsid w:val="003C39F4"/>
    <w:rsid w:val="003C3AA4"/>
    <w:rsid w:val="003C3C1F"/>
    <w:rsid w:val="003C3D76"/>
    <w:rsid w:val="003C405A"/>
    <w:rsid w:val="003C4196"/>
    <w:rsid w:val="003C41C9"/>
    <w:rsid w:val="003C44C8"/>
    <w:rsid w:val="003C44D8"/>
    <w:rsid w:val="003C45E9"/>
    <w:rsid w:val="003C4DC4"/>
    <w:rsid w:val="003C52BC"/>
    <w:rsid w:val="003C5321"/>
    <w:rsid w:val="003C5466"/>
    <w:rsid w:val="003C560A"/>
    <w:rsid w:val="003C56B4"/>
    <w:rsid w:val="003C5856"/>
    <w:rsid w:val="003C5980"/>
    <w:rsid w:val="003C599A"/>
    <w:rsid w:val="003C5AA3"/>
    <w:rsid w:val="003C5ACC"/>
    <w:rsid w:val="003C5AF0"/>
    <w:rsid w:val="003C5B13"/>
    <w:rsid w:val="003C5BE2"/>
    <w:rsid w:val="003C5EC4"/>
    <w:rsid w:val="003C5F5D"/>
    <w:rsid w:val="003C5F5F"/>
    <w:rsid w:val="003C5F79"/>
    <w:rsid w:val="003C5FB2"/>
    <w:rsid w:val="003C62F6"/>
    <w:rsid w:val="003C63FC"/>
    <w:rsid w:val="003C6460"/>
    <w:rsid w:val="003C65FA"/>
    <w:rsid w:val="003C6729"/>
    <w:rsid w:val="003C67AF"/>
    <w:rsid w:val="003C6A5B"/>
    <w:rsid w:val="003C6A64"/>
    <w:rsid w:val="003C6C3B"/>
    <w:rsid w:val="003C6DD8"/>
    <w:rsid w:val="003C70EC"/>
    <w:rsid w:val="003C72DD"/>
    <w:rsid w:val="003C730A"/>
    <w:rsid w:val="003C7546"/>
    <w:rsid w:val="003C76E7"/>
    <w:rsid w:val="003C77C9"/>
    <w:rsid w:val="003C7C03"/>
    <w:rsid w:val="003D05B3"/>
    <w:rsid w:val="003D06CE"/>
    <w:rsid w:val="003D071F"/>
    <w:rsid w:val="003D082E"/>
    <w:rsid w:val="003D09DC"/>
    <w:rsid w:val="003D0B2A"/>
    <w:rsid w:val="003D0C98"/>
    <w:rsid w:val="003D0D37"/>
    <w:rsid w:val="003D0ECF"/>
    <w:rsid w:val="003D0F9C"/>
    <w:rsid w:val="003D101A"/>
    <w:rsid w:val="003D10DD"/>
    <w:rsid w:val="003D149C"/>
    <w:rsid w:val="003D1552"/>
    <w:rsid w:val="003D161A"/>
    <w:rsid w:val="003D16AD"/>
    <w:rsid w:val="003D180F"/>
    <w:rsid w:val="003D1D4A"/>
    <w:rsid w:val="003D1E3D"/>
    <w:rsid w:val="003D1EEC"/>
    <w:rsid w:val="003D1FAC"/>
    <w:rsid w:val="003D21AB"/>
    <w:rsid w:val="003D23B1"/>
    <w:rsid w:val="003D24E0"/>
    <w:rsid w:val="003D2977"/>
    <w:rsid w:val="003D2BFB"/>
    <w:rsid w:val="003D2E34"/>
    <w:rsid w:val="003D2E70"/>
    <w:rsid w:val="003D2FA6"/>
    <w:rsid w:val="003D3C1D"/>
    <w:rsid w:val="003D3D11"/>
    <w:rsid w:val="003D3F41"/>
    <w:rsid w:val="003D3FD7"/>
    <w:rsid w:val="003D4236"/>
    <w:rsid w:val="003D4394"/>
    <w:rsid w:val="003D47C2"/>
    <w:rsid w:val="003D4895"/>
    <w:rsid w:val="003D4A66"/>
    <w:rsid w:val="003D4B1C"/>
    <w:rsid w:val="003D4C27"/>
    <w:rsid w:val="003D4C28"/>
    <w:rsid w:val="003D4DDC"/>
    <w:rsid w:val="003D4EDE"/>
    <w:rsid w:val="003D4F4B"/>
    <w:rsid w:val="003D4F84"/>
    <w:rsid w:val="003D50B3"/>
    <w:rsid w:val="003D5276"/>
    <w:rsid w:val="003D53A9"/>
    <w:rsid w:val="003D5479"/>
    <w:rsid w:val="003D550F"/>
    <w:rsid w:val="003D57C3"/>
    <w:rsid w:val="003D59A9"/>
    <w:rsid w:val="003D5B19"/>
    <w:rsid w:val="003D5BE9"/>
    <w:rsid w:val="003D5C80"/>
    <w:rsid w:val="003D5D24"/>
    <w:rsid w:val="003D5DB7"/>
    <w:rsid w:val="003D5F27"/>
    <w:rsid w:val="003D620A"/>
    <w:rsid w:val="003D639F"/>
    <w:rsid w:val="003D676C"/>
    <w:rsid w:val="003D681E"/>
    <w:rsid w:val="003D696B"/>
    <w:rsid w:val="003D6AF9"/>
    <w:rsid w:val="003D6B48"/>
    <w:rsid w:val="003D6EAA"/>
    <w:rsid w:val="003D6F93"/>
    <w:rsid w:val="003D7478"/>
    <w:rsid w:val="003D7526"/>
    <w:rsid w:val="003D7623"/>
    <w:rsid w:val="003D7797"/>
    <w:rsid w:val="003D78F3"/>
    <w:rsid w:val="003D7965"/>
    <w:rsid w:val="003D7DE6"/>
    <w:rsid w:val="003E00C2"/>
    <w:rsid w:val="003E00FF"/>
    <w:rsid w:val="003E010A"/>
    <w:rsid w:val="003E029D"/>
    <w:rsid w:val="003E0E7C"/>
    <w:rsid w:val="003E0EF1"/>
    <w:rsid w:val="003E1336"/>
    <w:rsid w:val="003E144D"/>
    <w:rsid w:val="003E14A8"/>
    <w:rsid w:val="003E14AE"/>
    <w:rsid w:val="003E1DC3"/>
    <w:rsid w:val="003E2016"/>
    <w:rsid w:val="003E2065"/>
    <w:rsid w:val="003E21E4"/>
    <w:rsid w:val="003E2794"/>
    <w:rsid w:val="003E2A91"/>
    <w:rsid w:val="003E2CED"/>
    <w:rsid w:val="003E2E56"/>
    <w:rsid w:val="003E2EF0"/>
    <w:rsid w:val="003E31AA"/>
    <w:rsid w:val="003E3262"/>
    <w:rsid w:val="003E3335"/>
    <w:rsid w:val="003E33B3"/>
    <w:rsid w:val="003E356E"/>
    <w:rsid w:val="003E36D9"/>
    <w:rsid w:val="003E389A"/>
    <w:rsid w:val="003E3942"/>
    <w:rsid w:val="003E39F4"/>
    <w:rsid w:val="003E3CDE"/>
    <w:rsid w:val="003E3D4C"/>
    <w:rsid w:val="003E3D5F"/>
    <w:rsid w:val="003E3D85"/>
    <w:rsid w:val="003E4517"/>
    <w:rsid w:val="003E45D2"/>
    <w:rsid w:val="003E47DD"/>
    <w:rsid w:val="003E4AA2"/>
    <w:rsid w:val="003E4B94"/>
    <w:rsid w:val="003E539F"/>
    <w:rsid w:val="003E5423"/>
    <w:rsid w:val="003E56DE"/>
    <w:rsid w:val="003E5A42"/>
    <w:rsid w:val="003E5C0E"/>
    <w:rsid w:val="003E5D15"/>
    <w:rsid w:val="003E5E48"/>
    <w:rsid w:val="003E5E7C"/>
    <w:rsid w:val="003E5F8F"/>
    <w:rsid w:val="003E62AB"/>
    <w:rsid w:val="003E63F8"/>
    <w:rsid w:val="003E6790"/>
    <w:rsid w:val="003E6799"/>
    <w:rsid w:val="003E67E3"/>
    <w:rsid w:val="003E6BCC"/>
    <w:rsid w:val="003E6DA8"/>
    <w:rsid w:val="003E7180"/>
    <w:rsid w:val="003E71E8"/>
    <w:rsid w:val="003E72CB"/>
    <w:rsid w:val="003E7571"/>
    <w:rsid w:val="003E7680"/>
    <w:rsid w:val="003E7EA8"/>
    <w:rsid w:val="003F06BE"/>
    <w:rsid w:val="003F0963"/>
    <w:rsid w:val="003F0CF9"/>
    <w:rsid w:val="003F0D16"/>
    <w:rsid w:val="003F0D88"/>
    <w:rsid w:val="003F12E0"/>
    <w:rsid w:val="003F1961"/>
    <w:rsid w:val="003F19DF"/>
    <w:rsid w:val="003F1D39"/>
    <w:rsid w:val="003F1F56"/>
    <w:rsid w:val="003F2024"/>
    <w:rsid w:val="003F2033"/>
    <w:rsid w:val="003F20B9"/>
    <w:rsid w:val="003F20BB"/>
    <w:rsid w:val="003F22DA"/>
    <w:rsid w:val="003F2C78"/>
    <w:rsid w:val="003F2D5B"/>
    <w:rsid w:val="003F34D0"/>
    <w:rsid w:val="003F377C"/>
    <w:rsid w:val="003F3B51"/>
    <w:rsid w:val="003F3BA5"/>
    <w:rsid w:val="003F4015"/>
    <w:rsid w:val="003F4169"/>
    <w:rsid w:val="003F41BF"/>
    <w:rsid w:val="003F42B9"/>
    <w:rsid w:val="003F430C"/>
    <w:rsid w:val="003F43D3"/>
    <w:rsid w:val="003F4CBC"/>
    <w:rsid w:val="003F4DC8"/>
    <w:rsid w:val="003F4E1D"/>
    <w:rsid w:val="003F4E70"/>
    <w:rsid w:val="003F4E9C"/>
    <w:rsid w:val="003F4F91"/>
    <w:rsid w:val="003F510D"/>
    <w:rsid w:val="003F533E"/>
    <w:rsid w:val="003F539D"/>
    <w:rsid w:val="003F5627"/>
    <w:rsid w:val="003F57A4"/>
    <w:rsid w:val="003F5B30"/>
    <w:rsid w:val="003F5BB6"/>
    <w:rsid w:val="003F5F6F"/>
    <w:rsid w:val="003F6099"/>
    <w:rsid w:val="003F61FA"/>
    <w:rsid w:val="003F6208"/>
    <w:rsid w:val="003F64C3"/>
    <w:rsid w:val="003F6691"/>
    <w:rsid w:val="003F678C"/>
    <w:rsid w:val="003F6956"/>
    <w:rsid w:val="003F6984"/>
    <w:rsid w:val="003F6A69"/>
    <w:rsid w:val="003F6A9B"/>
    <w:rsid w:val="003F6BA5"/>
    <w:rsid w:val="003F6D1A"/>
    <w:rsid w:val="003F6E21"/>
    <w:rsid w:val="003F7196"/>
    <w:rsid w:val="003F7256"/>
    <w:rsid w:val="003F755F"/>
    <w:rsid w:val="003F75C1"/>
    <w:rsid w:val="003F78D2"/>
    <w:rsid w:val="003F7B87"/>
    <w:rsid w:val="003F7DEE"/>
    <w:rsid w:val="003F7E7C"/>
    <w:rsid w:val="003F7F95"/>
    <w:rsid w:val="003F7FE0"/>
    <w:rsid w:val="0040042D"/>
    <w:rsid w:val="00400440"/>
    <w:rsid w:val="00400C91"/>
    <w:rsid w:val="00400EA0"/>
    <w:rsid w:val="00400F18"/>
    <w:rsid w:val="004010AD"/>
    <w:rsid w:val="004011C7"/>
    <w:rsid w:val="0040128D"/>
    <w:rsid w:val="00401398"/>
    <w:rsid w:val="0040150C"/>
    <w:rsid w:val="004015B3"/>
    <w:rsid w:val="004019C9"/>
    <w:rsid w:val="00401A1E"/>
    <w:rsid w:val="00401B17"/>
    <w:rsid w:val="00401F41"/>
    <w:rsid w:val="00401FE7"/>
    <w:rsid w:val="0040204C"/>
    <w:rsid w:val="0040257D"/>
    <w:rsid w:val="004026E9"/>
    <w:rsid w:val="00402A43"/>
    <w:rsid w:val="00402A91"/>
    <w:rsid w:val="00402E88"/>
    <w:rsid w:val="00402F90"/>
    <w:rsid w:val="00402FEE"/>
    <w:rsid w:val="00403387"/>
    <w:rsid w:val="004033FE"/>
    <w:rsid w:val="00403485"/>
    <w:rsid w:val="004036DA"/>
    <w:rsid w:val="00403846"/>
    <w:rsid w:val="00403977"/>
    <w:rsid w:val="004039FD"/>
    <w:rsid w:val="00403CAC"/>
    <w:rsid w:val="00403D42"/>
    <w:rsid w:val="00403E49"/>
    <w:rsid w:val="0040451F"/>
    <w:rsid w:val="00404769"/>
    <w:rsid w:val="004047BE"/>
    <w:rsid w:val="004047F4"/>
    <w:rsid w:val="00404AF9"/>
    <w:rsid w:val="00404B49"/>
    <w:rsid w:val="00404D68"/>
    <w:rsid w:val="00404E8E"/>
    <w:rsid w:val="00404F0B"/>
    <w:rsid w:val="004050EF"/>
    <w:rsid w:val="00405438"/>
    <w:rsid w:val="0040567B"/>
    <w:rsid w:val="00405A50"/>
    <w:rsid w:val="00405AA7"/>
    <w:rsid w:val="00405B4A"/>
    <w:rsid w:val="0040635C"/>
    <w:rsid w:val="004063BB"/>
    <w:rsid w:val="004064CD"/>
    <w:rsid w:val="00406743"/>
    <w:rsid w:val="004067D7"/>
    <w:rsid w:val="00406E24"/>
    <w:rsid w:val="00407123"/>
    <w:rsid w:val="00407653"/>
    <w:rsid w:val="004079DB"/>
    <w:rsid w:val="00407C92"/>
    <w:rsid w:val="00407D52"/>
    <w:rsid w:val="00407E55"/>
    <w:rsid w:val="00407FF6"/>
    <w:rsid w:val="00410157"/>
    <w:rsid w:val="004107AE"/>
    <w:rsid w:val="00410973"/>
    <w:rsid w:val="00410CB8"/>
    <w:rsid w:val="00410CC4"/>
    <w:rsid w:val="00410ED9"/>
    <w:rsid w:val="00410F37"/>
    <w:rsid w:val="0041101E"/>
    <w:rsid w:val="004110FF"/>
    <w:rsid w:val="00411669"/>
    <w:rsid w:val="00411914"/>
    <w:rsid w:val="00411D30"/>
    <w:rsid w:val="00411ECC"/>
    <w:rsid w:val="00411F83"/>
    <w:rsid w:val="0041229A"/>
    <w:rsid w:val="00412580"/>
    <w:rsid w:val="0041270C"/>
    <w:rsid w:val="00412A0F"/>
    <w:rsid w:val="00412E9B"/>
    <w:rsid w:val="00413110"/>
    <w:rsid w:val="00413229"/>
    <w:rsid w:val="004132EE"/>
    <w:rsid w:val="004133E6"/>
    <w:rsid w:val="004136E3"/>
    <w:rsid w:val="00413791"/>
    <w:rsid w:val="00413C05"/>
    <w:rsid w:val="00413D85"/>
    <w:rsid w:val="00413EA1"/>
    <w:rsid w:val="0041420D"/>
    <w:rsid w:val="0041468A"/>
    <w:rsid w:val="00414AB9"/>
    <w:rsid w:val="00414AFE"/>
    <w:rsid w:val="00414C85"/>
    <w:rsid w:val="00414DC6"/>
    <w:rsid w:val="00414F16"/>
    <w:rsid w:val="00415048"/>
    <w:rsid w:val="00415126"/>
    <w:rsid w:val="0041546A"/>
    <w:rsid w:val="004156E2"/>
    <w:rsid w:val="004157F5"/>
    <w:rsid w:val="004158B5"/>
    <w:rsid w:val="00415A0F"/>
    <w:rsid w:val="00415A8F"/>
    <w:rsid w:val="00415D63"/>
    <w:rsid w:val="00416189"/>
    <w:rsid w:val="004162B7"/>
    <w:rsid w:val="004164CB"/>
    <w:rsid w:val="00416661"/>
    <w:rsid w:val="004169FB"/>
    <w:rsid w:val="00416CDF"/>
    <w:rsid w:val="00416EC7"/>
    <w:rsid w:val="00416F6F"/>
    <w:rsid w:val="00417213"/>
    <w:rsid w:val="00417331"/>
    <w:rsid w:val="00417807"/>
    <w:rsid w:val="00417B5C"/>
    <w:rsid w:val="00417C01"/>
    <w:rsid w:val="00417CAB"/>
    <w:rsid w:val="00420426"/>
    <w:rsid w:val="004204EF"/>
    <w:rsid w:val="00420AD3"/>
    <w:rsid w:val="00421299"/>
    <w:rsid w:val="00421712"/>
    <w:rsid w:val="004219AB"/>
    <w:rsid w:val="00421AE4"/>
    <w:rsid w:val="00421DAF"/>
    <w:rsid w:val="00421E37"/>
    <w:rsid w:val="00421E41"/>
    <w:rsid w:val="004220DE"/>
    <w:rsid w:val="004221AC"/>
    <w:rsid w:val="004221CF"/>
    <w:rsid w:val="00422906"/>
    <w:rsid w:val="00422C24"/>
    <w:rsid w:val="00422D9C"/>
    <w:rsid w:val="00422F87"/>
    <w:rsid w:val="004231EC"/>
    <w:rsid w:val="00423204"/>
    <w:rsid w:val="00423316"/>
    <w:rsid w:val="0042339B"/>
    <w:rsid w:val="0042339D"/>
    <w:rsid w:val="00423527"/>
    <w:rsid w:val="004237B0"/>
    <w:rsid w:val="004238B8"/>
    <w:rsid w:val="00423965"/>
    <w:rsid w:val="00423AED"/>
    <w:rsid w:val="00423C25"/>
    <w:rsid w:val="00423D33"/>
    <w:rsid w:val="00423D7C"/>
    <w:rsid w:val="00424102"/>
    <w:rsid w:val="00424105"/>
    <w:rsid w:val="004244BF"/>
    <w:rsid w:val="004245E2"/>
    <w:rsid w:val="004251DC"/>
    <w:rsid w:val="00425367"/>
    <w:rsid w:val="0042547B"/>
    <w:rsid w:val="0042551D"/>
    <w:rsid w:val="00425537"/>
    <w:rsid w:val="00425595"/>
    <w:rsid w:val="004256C2"/>
    <w:rsid w:val="004256F1"/>
    <w:rsid w:val="0042591E"/>
    <w:rsid w:val="00425A26"/>
    <w:rsid w:val="00425DBF"/>
    <w:rsid w:val="00425F1D"/>
    <w:rsid w:val="00426002"/>
    <w:rsid w:val="004261D3"/>
    <w:rsid w:val="0042652F"/>
    <w:rsid w:val="00426548"/>
    <w:rsid w:val="00426586"/>
    <w:rsid w:val="00426697"/>
    <w:rsid w:val="004266E4"/>
    <w:rsid w:val="00426958"/>
    <w:rsid w:val="0042697D"/>
    <w:rsid w:val="00426EDF"/>
    <w:rsid w:val="00426F23"/>
    <w:rsid w:val="00427227"/>
    <w:rsid w:val="004272AB"/>
    <w:rsid w:val="004275B3"/>
    <w:rsid w:val="00427899"/>
    <w:rsid w:val="00427C93"/>
    <w:rsid w:val="00427D14"/>
    <w:rsid w:val="00427EA3"/>
    <w:rsid w:val="00427EFC"/>
    <w:rsid w:val="00430120"/>
    <w:rsid w:val="004305BC"/>
    <w:rsid w:val="0043066B"/>
    <w:rsid w:val="004308A1"/>
    <w:rsid w:val="004309BF"/>
    <w:rsid w:val="004309F2"/>
    <w:rsid w:val="00430DF0"/>
    <w:rsid w:val="00430ECC"/>
    <w:rsid w:val="0043144C"/>
    <w:rsid w:val="00431558"/>
    <w:rsid w:val="004318A9"/>
    <w:rsid w:val="00431908"/>
    <w:rsid w:val="00431C2C"/>
    <w:rsid w:val="00431DB2"/>
    <w:rsid w:val="004326FD"/>
    <w:rsid w:val="0043272F"/>
    <w:rsid w:val="00432B0B"/>
    <w:rsid w:val="00432B2A"/>
    <w:rsid w:val="00432C49"/>
    <w:rsid w:val="00432C53"/>
    <w:rsid w:val="00432CEC"/>
    <w:rsid w:val="00432FB1"/>
    <w:rsid w:val="0043304F"/>
    <w:rsid w:val="0043378F"/>
    <w:rsid w:val="00433A68"/>
    <w:rsid w:val="00433DAD"/>
    <w:rsid w:val="0043407C"/>
    <w:rsid w:val="00434120"/>
    <w:rsid w:val="004342CA"/>
    <w:rsid w:val="004342D6"/>
    <w:rsid w:val="00434365"/>
    <w:rsid w:val="004345E1"/>
    <w:rsid w:val="00434A5B"/>
    <w:rsid w:val="00434A8D"/>
    <w:rsid w:val="00434DA5"/>
    <w:rsid w:val="00435042"/>
    <w:rsid w:val="004350ED"/>
    <w:rsid w:val="004352B3"/>
    <w:rsid w:val="00435432"/>
    <w:rsid w:val="004355B5"/>
    <w:rsid w:val="004356CD"/>
    <w:rsid w:val="00435991"/>
    <w:rsid w:val="00435A1F"/>
    <w:rsid w:val="00435C04"/>
    <w:rsid w:val="00435CEB"/>
    <w:rsid w:val="00435FD5"/>
    <w:rsid w:val="00436054"/>
    <w:rsid w:val="00436221"/>
    <w:rsid w:val="004363BC"/>
    <w:rsid w:val="004365AB"/>
    <w:rsid w:val="00436711"/>
    <w:rsid w:val="00436C07"/>
    <w:rsid w:val="00436CE6"/>
    <w:rsid w:val="0043701F"/>
    <w:rsid w:val="00437166"/>
    <w:rsid w:val="004371A2"/>
    <w:rsid w:val="0043755F"/>
    <w:rsid w:val="0043782C"/>
    <w:rsid w:val="004378E8"/>
    <w:rsid w:val="00437990"/>
    <w:rsid w:val="00437B46"/>
    <w:rsid w:val="00437CE6"/>
    <w:rsid w:val="00437D10"/>
    <w:rsid w:val="00437D4B"/>
    <w:rsid w:val="00437D8F"/>
    <w:rsid w:val="00437F6B"/>
    <w:rsid w:val="0044000D"/>
    <w:rsid w:val="0044003E"/>
    <w:rsid w:val="004405B8"/>
    <w:rsid w:val="00440625"/>
    <w:rsid w:val="00440F70"/>
    <w:rsid w:val="00441A4E"/>
    <w:rsid w:val="00441BD0"/>
    <w:rsid w:val="00441C2A"/>
    <w:rsid w:val="00441D0C"/>
    <w:rsid w:val="00441D86"/>
    <w:rsid w:val="00441FAD"/>
    <w:rsid w:val="00442117"/>
    <w:rsid w:val="0044227C"/>
    <w:rsid w:val="004422EC"/>
    <w:rsid w:val="0044230F"/>
    <w:rsid w:val="00442452"/>
    <w:rsid w:val="00442549"/>
    <w:rsid w:val="004425D2"/>
    <w:rsid w:val="004427A2"/>
    <w:rsid w:val="004428F3"/>
    <w:rsid w:val="00442C73"/>
    <w:rsid w:val="00442C82"/>
    <w:rsid w:val="00442DD0"/>
    <w:rsid w:val="00442E54"/>
    <w:rsid w:val="00442F73"/>
    <w:rsid w:val="00443023"/>
    <w:rsid w:val="004431AD"/>
    <w:rsid w:val="004431B5"/>
    <w:rsid w:val="004433B3"/>
    <w:rsid w:val="004434E3"/>
    <w:rsid w:val="0044362B"/>
    <w:rsid w:val="004437C9"/>
    <w:rsid w:val="00443A41"/>
    <w:rsid w:val="00443A6A"/>
    <w:rsid w:val="00443AE0"/>
    <w:rsid w:val="00443B57"/>
    <w:rsid w:val="00443C37"/>
    <w:rsid w:val="00443CC0"/>
    <w:rsid w:val="00443D85"/>
    <w:rsid w:val="00443DB9"/>
    <w:rsid w:val="00443F0A"/>
    <w:rsid w:val="00443F36"/>
    <w:rsid w:val="00443FFE"/>
    <w:rsid w:val="00444088"/>
    <w:rsid w:val="004441B3"/>
    <w:rsid w:val="00444377"/>
    <w:rsid w:val="00444386"/>
    <w:rsid w:val="0044439D"/>
    <w:rsid w:val="00444465"/>
    <w:rsid w:val="004447F4"/>
    <w:rsid w:val="0044484C"/>
    <w:rsid w:val="0044489D"/>
    <w:rsid w:val="00444B19"/>
    <w:rsid w:val="00444C14"/>
    <w:rsid w:val="00444F00"/>
    <w:rsid w:val="00445B1F"/>
    <w:rsid w:val="00445B76"/>
    <w:rsid w:val="00445BAC"/>
    <w:rsid w:val="00445C00"/>
    <w:rsid w:val="00445D48"/>
    <w:rsid w:val="00445D4C"/>
    <w:rsid w:val="00445D56"/>
    <w:rsid w:val="00445FF7"/>
    <w:rsid w:val="00446373"/>
    <w:rsid w:val="0044645F"/>
    <w:rsid w:val="00446485"/>
    <w:rsid w:val="0044655E"/>
    <w:rsid w:val="0044658E"/>
    <w:rsid w:val="004467AE"/>
    <w:rsid w:val="004467B3"/>
    <w:rsid w:val="004467EC"/>
    <w:rsid w:val="004469B3"/>
    <w:rsid w:val="00446C6A"/>
    <w:rsid w:val="00446D52"/>
    <w:rsid w:val="00446E1D"/>
    <w:rsid w:val="00446F07"/>
    <w:rsid w:val="00447074"/>
    <w:rsid w:val="00447197"/>
    <w:rsid w:val="004472B4"/>
    <w:rsid w:val="004476D8"/>
    <w:rsid w:val="004478A9"/>
    <w:rsid w:val="00447961"/>
    <w:rsid w:val="004479A2"/>
    <w:rsid w:val="00447B06"/>
    <w:rsid w:val="0045004C"/>
    <w:rsid w:val="00450537"/>
    <w:rsid w:val="0045090B"/>
    <w:rsid w:val="00450B2B"/>
    <w:rsid w:val="00450C23"/>
    <w:rsid w:val="00450C51"/>
    <w:rsid w:val="00450E86"/>
    <w:rsid w:val="00450EA4"/>
    <w:rsid w:val="00450FC6"/>
    <w:rsid w:val="00450FEA"/>
    <w:rsid w:val="0045123C"/>
    <w:rsid w:val="004513A1"/>
    <w:rsid w:val="004514DD"/>
    <w:rsid w:val="00451607"/>
    <w:rsid w:val="004519AA"/>
    <w:rsid w:val="00451AAE"/>
    <w:rsid w:val="00451C7C"/>
    <w:rsid w:val="00451FA0"/>
    <w:rsid w:val="00451FB9"/>
    <w:rsid w:val="00452250"/>
    <w:rsid w:val="004522CA"/>
    <w:rsid w:val="0045239A"/>
    <w:rsid w:val="00452E1C"/>
    <w:rsid w:val="004531C3"/>
    <w:rsid w:val="004533A7"/>
    <w:rsid w:val="00453405"/>
    <w:rsid w:val="0045343E"/>
    <w:rsid w:val="00453519"/>
    <w:rsid w:val="0045356B"/>
    <w:rsid w:val="00453AEB"/>
    <w:rsid w:val="00453B07"/>
    <w:rsid w:val="00453EB0"/>
    <w:rsid w:val="0045421E"/>
    <w:rsid w:val="004543BF"/>
    <w:rsid w:val="004545E5"/>
    <w:rsid w:val="0045466E"/>
    <w:rsid w:val="004546F0"/>
    <w:rsid w:val="004546F1"/>
    <w:rsid w:val="004547BD"/>
    <w:rsid w:val="00454B46"/>
    <w:rsid w:val="00454B59"/>
    <w:rsid w:val="00454BFE"/>
    <w:rsid w:val="00454EF8"/>
    <w:rsid w:val="004558CC"/>
    <w:rsid w:val="0045591E"/>
    <w:rsid w:val="00455A25"/>
    <w:rsid w:val="00455A6E"/>
    <w:rsid w:val="00455B81"/>
    <w:rsid w:val="00455CE1"/>
    <w:rsid w:val="00455D83"/>
    <w:rsid w:val="00456254"/>
    <w:rsid w:val="004564DF"/>
    <w:rsid w:val="0045653D"/>
    <w:rsid w:val="0045699B"/>
    <w:rsid w:val="00456D37"/>
    <w:rsid w:val="00456E4A"/>
    <w:rsid w:val="00457066"/>
    <w:rsid w:val="0045707B"/>
    <w:rsid w:val="004570FD"/>
    <w:rsid w:val="004572EB"/>
    <w:rsid w:val="0045732F"/>
    <w:rsid w:val="00457A8F"/>
    <w:rsid w:val="00457AB5"/>
    <w:rsid w:val="00457E45"/>
    <w:rsid w:val="0046040A"/>
    <w:rsid w:val="004604AB"/>
    <w:rsid w:val="004604CA"/>
    <w:rsid w:val="00460646"/>
    <w:rsid w:val="004607A4"/>
    <w:rsid w:val="0046088A"/>
    <w:rsid w:val="00460B05"/>
    <w:rsid w:val="00460BE3"/>
    <w:rsid w:val="00460CED"/>
    <w:rsid w:val="00460E98"/>
    <w:rsid w:val="00460EB4"/>
    <w:rsid w:val="0046154E"/>
    <w:rsid w:val="0046168F"/>
    <w:rsid w:val="004618E9"/>
    <w:rsid w:val="0046197F"/>
    <w:rsid w:val="00461B83"/>
    <w:rsid w:val="00461D53"/>
    <w:rsid w:val="00461DEA"/>
    <w:rsid w:val="00461FFB"/>
    <w:rsid w:val="004620A5"/>
    <w:rsid w:val="00462198"/>
    <w:rsid w:val="004621EC"/>
    <w:rsid w:val="00462613"/>
    <w:rsid w:val="004626CC"/>
    <w:rsid w:val="00462A61"/>
    <w:rsid w:val="00462B70"/>
    <w:rsid w:val="00462C7D"/>
    <w:rsid w:val="00462E27"/>
    <w:rsid w:val="00462F32"/>
    <w:rsid w:val="00463062"/>
    <w:rsid w:val="0046312A"/>
    <w:rsid w:val="004632E3"/>
    <w:rsid w:val="004635A5"/>
    <w:rsid w:val="00463629"/>
    <w:rsid w:val="004637FC"/>
    <w:rsid w:val="004638AB"/>
    <w:rsid w:val="00463AEB"/>
    <w:rsid w:val="00463B28"/>
    <w:rsid w:val="00463C7D"/>
    <w:rsid w:val="00463F96"/>
    <w:rsid w:val="004642DC"/>
    <w:rsid w:val="004644B2"/>
    <w:rsid w:val="00464533"/>
    <w:rsid w:val="00464795"/>
    <w:rsid w:val="004648D7"/>
    <w:rsid w:val="00464A91"/>
    <w:rsid w:val="00464F23"/>
    <w:rsid w:val="004652D5"/>
    <w:rsid w:val="0046559E"/>
    <w:rsid w:val="0046575A"/>
    <w:rsid w:val="004657A0"/>
    <w:rsid w:val="004659FE"/>
    <w:rsid w:val="00465BBF"/>
    <w:rsid w:val="004660A4"/>
    <w:rsid w:val="004660D9"/>
    <w:rsid w:val="00466221"/>
    <w:rsid w:val="0046669B"/>
    <w:rsid w:val="0046694D"/>
    <w:rsid w:val="00466A27"/>
    <w:rsid w:val="00466B3F"/>
    <w:rsid w:val="00466E4F"/>
    <w:rsid w:val="00467413"/>
    <w:rsid w:val="00467483"/>
    <w:rsid w:val="00467610"/>
    <w:rsid w:val="004676EE"/>
    <w:rsid w:val="00467785"/>
    <w:rsid w:val="00467A36"/>
    <w:rsid w:val="00467EF3"/>
    <w:rsid w:val="00470171"/>
    <w:rsid w:val="00470209"/>
    <w:rsid w:val="00470351"/>
    <w:rsid w:val="00470383"/>
    <w:rsid w:val="00470443"/>
    <w:rsid w:val="00470474"/>
    <w:rsid w:val="0047068F"/>
    <w:rsid w:val="00470C3F"/>
    <w:rsid w:val="00470E2A"/>
    <w:rsid w:val="00471075"/>
    <w:rsid w:val="00471190"/>
    <w:rsid w:val="004711C1"/>
    <w:rsid w:val="0047136C"/>
    <w:rsid w:val="0047137A"/>
    <w:rsid w:val="00471465"/>
    <w:rsid w:val="004715A0"/>
    <w:rsid w:val="00471683"/>
    <w:rsid w:val="004716C2"/>
    <w:rsid w:val="00471AC2"/>
    <w:rsid w:val="00471BF9"/>
    <w:rsid w:val="00471E66"/>
    <w:rsid w:val="00471E90"/>
    <w:rsid w:val="00471E93"/>
    <w:rsid w:val="00471EDC"/>
    <w:rsid w:val="00471F9E"/>
    <w:rsid w:val="004720E8"/>
    <w:rsid w:val="0047234E"/>
    <w:rsid w:val="004724BA"/>
    <w:rsid w:val="0047270D"/>
    <w:rsid w:val="0047280A"/>
    <w:rsid w:val="0047297A"/>
    <w:rsid w:val="00472C61"/>
    <w:rsid w:val="00472D17"/>
    <w:rsid w:val="00472F50"/>
    <w:rsid w:val="00473009"/>
    <w:rsid w:val="00473085"/>
    <w:rsid w:val="0047342D"/>
    <w:rsid w:val="00473517"/>
    <w:rsid w:val="00473618"/>
    <w:rsid w:val="0047368A"/>
    <w:rsid w:val="00473725"/>
    <w:rsid w:val="00473734"/>
    <w:rsid w:val="00473BB7"/>
    <w:rsid w:val="00473C3D"/>
    <w:rsid w:val="00473DB7"/>
    <w:rsid w:val="00473DBA"/>
    <w:rsid w:val="00473E52"/>
    <w:rsid w:val="0047411E"/>
    <w:rsid w:val="0047421E"/>
    <w:rsid w:val="0047427D"/>
    <w:rsid w:val="0047449A"/>
    <w:rsid w:val="004744AE"/>
    <w:rsid w:val="00474545"/>
    <w:rsid w:val="00474670"/>
    <w:rsid w:val="004746FE"/>
    <w:rsid w:val="00474765"/>
    <w:rsid w:val="00474B51"/>
    <w:rsid w:val="00474BBC"/>
    <w:rsid w:val="00474DFB"/>
    <w:rsid w:val="004758FE"/>
    <w:rsid w:val="00475978"/>
    <w:rsid w:val="00475C9A"/>
    <w:rsid w:val="004762A4"/>
    <w:rsid w:val="00476333"/>
    <w:rsid w:val="00476349"/>
    <w:rsid w:val="00476495"/>
    <w:rsid w:val="004765BA"/>
    <w:rsid w:val="00476700"/>
    <w:rsid w:val="00476AE3"/>
    <w:rsid w:val="00477066"/>
    <w:rsid w:val="00477311"/>
    <w:rsid w:val="00477340"/>
    <w:rsid w:val="0047749D"/>
    <w:rsid w:val="00477798"/>
    <w:rsid w:val="004779FC"/>
    <w:rsid w:val="00477D80"/>
    <w:rsid w:val="00480262"/>
    <w:rsid w:val="0048043F"/>
    <w:rsid w:val="004804B0"/>
    <w:rsid w:val="0048059A"/>
    <w:rsid w:val="00480A13"/>
    <w:rsid w:val="00480AC5"/>
    <w:rsid w:val="0048133E"/>
    <w:rsid w:val="00481735"/>
    <w:rsid w:val="00481952"/>
    <w:rsid w:val="00481BE8"/>
    <w:rsid w:val="00481C07"/>
    <w:rsid w:val="00481C22"/>
    <w:rsid w:val="00481CC5"/>
    <w:rsid w:val="00481D54"/>
    <w:rsid w:val="00481F71"/>
    <w:rsid w:val="00481FF4"/>
    <w:rsid w:val="00482340"/>
    <w:rsid w:val="0048245D"/>
    <w:rsid w:val="004824E5"/>
    <w:rsid w:val="00482774"/>
    <w:rsid w:val="00482914"/>
    <w:rsid w:val="00482A06"/>
    <w:rsid w:val="00482CAD"/>
    <w:rsid w:val="004830F9"/>
    <w:rsid w:val="0048320A"/>
    <w:rsid w:val="0048357A"/>
    <w:rsid w:val="00483681"/>
    <w:rsid w:val="004837F4"/>
    <w:rsid w:val="00483AE3"/>
    <w:rsid w:val="00483CA9"/>
    <w:rsid w:val="00483DBB"/>
    <w:rsid w:val="00484122"/>
    <w:rsid w:val="00484231"/>
    <w:rsid w:val="00484236"/>
    <w:rsid w:val="00484274"/>
    <w:rsid w:val="004843BA"/>
    <w:rsid w:val="00484794"/>
    <w:rsid w:val="00484CD4"/>
    <w:rsid w:val="00484F2D"/>
    <w:rsid w:val="00485046"/>
    <w:rsid w:val="004850E7"/>
    <w:rsid w:val="00485282"/>
    <w:rsid w:val="00485295"/>
    <w:rsid w:val="00485493"/>
    <w:rsid w:val="0048557C"/>
    <w:rsid w:val="00485580"/>
    <w:rsid w:val="00485588"/>
    <w:rsid w:val="004855CE"/>
    <w:rsid w:val="00485631"/>
    <w:rsid w:val="00485741"/>
    <w:rsid w:val="004858DE"/>
    <w:rsid w:val="00485956"/>
    <w:rsid w:val="00485F34"/>
    <w:rsid w:val="004864DD"/>
    <w:rsid w:val="004865A7"/>
    <w:rsid w:val="004868B2"/>
    <w:rsid w:val="00486B0E"/>
    <w:rsid w:val="00486BAD"/>
    <w:rsid w:val="00486C3E"/>
    <w:rsid w:val="00486C47"/>
    <w:rsid w:val="00487278"/>
    <w:rsid w:val="00487514"/>
    <w:rsid w:val="004876A4"/>
    <w:rsid w:val="004879DC"/>
    <w:rsid w:val="00487F38"/>
    <w:rsid w:val="0049046E"/>
    <w:rsid w:val="004904F1"/>
    <w:rsid w:val="0049060B"/>
    <w:rsid w:val="004909AE"/>
    <w:rsid w:val="00490D2E"/>
    <w:rsid w:val="00490E44"/>
    <w:rsid w:val="00490EA7"/>
    <w:rsid w:val="00490F14"/>
    <w:rsid w:val="00491091"/>
    <w:rsid w:val="004913A6"/>
    <w:rsid w:val="00491684"/>
    <w:rsid w:val="00491AB7"/>
    <w:rsid w:val="00491BFD"/>
    <w:rsid w:val="00491D6E"/>
    <w:rsid w:val="00491F21"/>
    <w:rsid w:val="00491FF7"/>
    <w:rsid w:val="0049221E"/>
    <w:rsid w:val="0049232A"/>
    <w:rsid w:val="0049239D"/>
    <w:rsid w:val="004923EC"/>
    <w:rsid w:val="004927C8"/>
    <w:rsid w:val="0049282F"/>
    <w:rsid w:val="00492976"/>
    <w:rsid w:val="00492A04"/>
    <w:rsid w:val="00492EF6"/>
    <w:rsid w:val="00492FC3"/>
    <w:rsid w:val="00493661"/>
    <w:rsid w:val="00493815"/>
    <w:rsid w:val="00493AEF"/>
    <w:rsid w:val="00493DBC"/>
    <w:rsid w:val="00493EF4"/>
    <w:rsid w:val="00493F16"/>
    <w:rsid w:val="00493F3D"/>
    <w:rsid w:val="004942E4"/>
    <w:rsid w:val="00494410"/>
    <w:rsid w:val="00494666"/>
    <w:rsid w:val="004946D0"/>
    <w:rsid w:val="0049490A"/>
    <w:rsid w:val="00494A53"/>
    <w:rsid w:val="00494BB8"/>
    <w:rsid w:val="00495982"/>
    <w:rsid w:val="00495CE2"/>
    <w:rsid w:val="00495E2E"/>
    <w:rsid w:val="00495E34"/>
    <w:rsid w:val="004967D0"/>
    <w:rsid w:val="00496C54"/>
    <w:rsid w:val="00496C72"/>
    <w:rsid w:val="00496CF9"/>
    <w:rsid w:val="00496D09"/>
    <w:rsid w:val="00496DDC"/>
    <w:rsid w:val="00497046"/>
    <w:rsid w:val="0049724E"/>
    <w:rsid w:val="0049729B"/>
    <w:rsid w:val="004976D6"/>
    <w:rsid w:val="0049774D"/>
    <w:rsid w:val="00497758"/>
    <w:rsid w:val="00497A79"/>
    <w:rsid w:val="00497C18"/>
    <w:rsid w:val="00497CCB"/>
    <w:rsid w:val="00497D2F"/>
    <w:rsid w:val="00497DD2"/>
    <w:rsid w:val="004A0287"/>
    <w:rsid w:val="004A06E5"/>
    <w:rsid w:val="004A0711"/>
    <w:rsid w:val="004A09B3"/>
    <w:rsid w:val="004A09E0"/>
    <w:rsid w:val="004A0A49"/>
    <w:rsid w:val="004A0AF5"/>
    <w:rsid w:val="004A0BBD"/>
    <w:rsid w:val="004A0CC8"/>
    <w:rsid w:val="004A0D13"/>
    <w:rsid w:val="004A0F03"/>
    <w:rsid w:val="004A0F11"/>
    <w:rsid w:val="004A0F14"/>
    <w:rsid w:val="004A0F33"/>
    <w:rsid w:val="004A0F67"/>
    <w:rsid w:val="004A123A"/>
    <w:rsid w:val="004A16E0"/>
    <w:rsid w:val="004A19E7"/>
    <w:rsid w:val="004A1A86"/>
    <w:rsid w:val="004A1B15"/>
    <w:rsid w:val="004A2117"/>
    <w:rsid w:val="004A229A"/>
    <w:rsid w:val="004A22E2"/>
    <w:rsid w:val="004A25FE"/>
    <w:rsid w:val="004A2A78"/>
    <w:rsid w:val="004A2B7A"/>
    <w:rsid w:val="004A2BE7"/>
    <w:rsid w:val="004A2E1E"/>
    <w:rsid w:val="004A2FB5"/>
    <w:rsid w:val="004A31F7"/>
    <w:rsid w:val="004A32EA"/>
    <w:rsid w:val="004A33CD"/>
    <w:rsid w:val="004A348C"/>
    <w:rsid w:val="004A34B2"/>
    <w:rsid w:val="004A3510"/>
    <w:rsid w:val="004A3A11"/>
    <w:rsid w:val="004A3A53"/>
    <w:rsid w:val="004A3CCB"/>
    <w:rsid w:val="004A3DFB"/>
    <w:rsid w:val="004A3E62"/>
    <w:rsid w:val="004A3FEB"/>
    <w:rsid w:val="004A431D"/>
    <w:rsid w:val="004A45F8"/>
    <w:rsid w:val="004A492E"/>
    <w:rsid w:val="004A4BB7"/>
    <w:rsid w:val="004A4C20"/>
    <w:rsid w:val="004A4C73"/>
    <w:rsid w:val="004A4CAB"/>
    <w:rsid w:val="004A4F47"/>
    <w:rsid w:val="004A5037"/>
    <w:rsid w:val="004A5350"/>
    <w:rsid w:val="004A57C9"/>
    <w:rsid w:val="004A5996"/>
    <w:rsid w:val="004A59A8"/>
    <w:rsid w:val="004A5EE5"/>
    <w:rsid w:val="004A601F"/>
    <w:rsid w:val="004A6105"/>
    <w:rsid w:val="004A640D"/>
    <w:rsid w:val="004A6454"/>
    <w:rsid w:val="004A64C8"/>
    <w:rsid w:val="004A64EE"/>
    <w:rsid w:val="004A6567"/>
    <w:rsid w:val="004A686D"/>
    <w:rsid w:val="004A6C12"/>
    <w:rsid w:val="004A7B09"/>
    <w:rsid w:val="004A7E10"/>
    <w:rsid w:val="004B0328"/>
    <w:rsid w:val="004B0A1D"/>
    <w:rsid w:val="004B0CAA"/>
    <w:rsid w:val="004B0D67"/>
    <w:rsid w:val="004B0FE8"/>
    <w:rsid w:val="004B1026"/>
    <w:rsid w:val="004B106B"/>
    <w:rsid w:val="004B15B8"/>
    <w:rsid w:val="004B182E"/>
    <w:rsid w:val="004B1925"/>
    <w:rsid w:val="004B1969"/>
    <w:rsid w:val="004B1B12"/>
    <w:rsid w:val="004B1D97"/>
    <w:rsid w:val="004B1E4B"/>
    <w:rsid w:val="004B2072"/>
    <w:rsid w:val="004B213D"/>
    <w:rsid w:val="004B2287"/>
    <w:rsid w:val="004B2404"/>
    <w:rsid w:val="004B25A7"/>
    <w:rsid w:val="004B2F3C"/>
    <w:rsid w:val="004B308D"/>
    <w:rsid w:val="004B357B"/>
    <w:rsid w:val="004B374F"/>
    <w:rsid w:val="004B4132"/>
    <w:rsid w:val="004B4145"/>
    <w:rsid w:val="004B42A6"/>
    <w:rsid w:val="004B475A"/>
    <w:rsid w:val="004B48D9"/>
    <w:rsid w:val="004B491A"/>
    <w:rsid w:val="004B49A7"/>
    <w:rsid w:val="004B4BF7"/>
    <w:rsid w:val="004B4FB2"/>
    <w:rsid w:val="004B5294"/>
    <w:rsid w:val="004B5371"/>
    <w:rsid w:val="004B5420"/>
    <w:rsid w:val="004B54DE"/>
    <w:rsid w:val="004B5606"/>
    <w:rsid w:val="004B585F"/>
    <w:rsid w:val="004B5B3E"/>
    <w:rsid w:val="004B5C5F"/>
    <w:rsid w:val="004B5E3A"/>
    <w:rsid w:val="004B5FBC"/>
    <w:rsid w:val="004B681C"/>
    <w:rsid w:val="004B6900"/>
    <w:rsid w:val="004B6B5E"/>
    <w:rsid w:val="004B6D03"/>
    <w:rsid w:val="004B6DB2"/>
    <w:rsid w:val="004B6EA5"/>
    <w:rsid w:val="004B71A1"/>
    <w:rsid w:val="004B7288"/>
    <w:rsid w:val="004B739E"/>
    <w:rsid w:val="004B7756"/>
    <w:rsid w:val="004C007D"/>
    <w:rsid w:val="004C0148"/>
    <w:rsid w:val="004C0403"/>
    <w:rsid w:val="004C05FA"/>
    <w:rsid w:val="004C0BB5"/>
    <w:rsid w:val="004C0F2C"/>
    <w:rsid w:val="004C0F95"/>
    <w:rsid w:val="004C1131"/>
    <w:rsid w:val="004C114A"/>
    <w:rsid w:val="004C1252"/>
    <w:rsid w:val="004C180E"/>
    <w:rsid w:val="004C1D6C"/>
    <w:rsid w:val="004C1EF3"/>
    <w:rsid w:val="004C2067"/>
    <w:rsid w:val="004C20AD"/>
    <w:rsid w:val="004C2360"/>
    <w:rsid w:val="004C2727"/>
    <w:rsid w:val="004C28A9"/>
    <w:rsid w:val="004C293B"/>
    <w:rsid w:val="004C29AD"/>
    <w:rsid w:val="004C2B02"/>
    <w:rsid w:val="004C2BE9"/>
    <w:rsid w:val="004C3469"/>
    <w:rsid w:val="004C38ED"/>
    <w:rsid w:val="004C3C09"/>
    <w:rsid w:val="004C3E90"/>
    <w:rsid w:val="004C3ED7"/>
    <w:rsid w:val="004C3F6A"/>
    <w:rsid w:val="004C41DA"/>
    <w:rsid w:val="004C462F"/>
    <w:rsid w:val="004C473F"/>
    <w:rsid w:val="004C47CA"/>
    <w:rsid w:val="004C481D"/>
    <w:rsid w:val="004C4BC0"/>
    <w:rsid w:val="004C4E7F"/>
    <w:rsid w:val="004C5593"/>
    <w:rsid w:val="004C55E0"/>
    <w:rsid w:val="004C55FE"/>
    <w:rsid w:val="004C56AE"/>
    <w:rsid w:val="004C581D"/>
    <w:rsid w:val="004C5AAB"/>
    <w:rsid w:val="004C5D50"/>
    <w:rsid w:val="004C5E25"/>
    <w:rsid w:val="004C5F4E"/>
    <w:rsid w:val="004C5FEA"/>
    <w:rsid w:val="004C6244"/>
    <w:rsid w:val="004C64EE"/>
    <w:rsid w:val="004C661B"/>
    <w:rsid w:val="004C67E3"/>
    <w:rsid w:val="004C6FCE"/>
    <w:rsid w:val="004C719D"/>
    <w:rsid w:val="004C71DF"/>
    <w:rsid w:val="004C721B"/>
    <w:rsid w:val="004C733C"/>
    <w:rsid w:val="004C77B6"/>
    <w:rsid w:val="004C78F7"/>
    <w:rsid w:val="004C7EEA"/>
    <w:rsid w:val="004D0A23"/>
    <w:rsid w:val="004D0C8B"/>
    <w:rsid w:val="004D0CAE"/>
    <w:rsid w:val="004D0DF5"/>
    <w:rsid w:val="004D0EE5"/>
    <w:rsid w:val="004D1245"/>
    <w:rsid w:val="004D12FB"/>
    <w:rsid w:val="004D1478"/>
    <w:rsid w:val="004D179F"/>
    <w:rsid w:val="004D184F"/>
    <w:rsid w:val="004D1E84"/>
    <w:rsid w:val="004D203B"/>
    <w:rsid w:val="004D20E9"/>
    <w:rsid w:val="004D2204"/>
    <w:rsid w:val="004D223F"/>
    <w:rsid w:val="004D232A"/>
    <w:rsid w:val="004D262D"/>
    <w:rsid w:val="004D273A"/>
    <w:rsid w:val="004D27B4"/>
    <w:rsid w:val="004D2C9D"/>
    <w:rsid w:val="004D2CB3"/>
    <w:rsid w:val="004D2E69"/>
    <w:rsid w:val="004D2EC2"/>
    <w:rsid w:val="004D2FDB"/>
    <w:rsid w:val="004D309B"/>
    <w:rsid w:val="004D31D4"/>
    <w:rsid w:val="004D327B"/>
    <w:rsid w:val="004D3492"/>
    <w:rsid w:val="004D3530"/>
    <w:rsid w:val="004D3751"/>
    <w:rsid w:val="004D39E3"/>
    <w:rsid w:val="004D39EF"/>
    <w:rsid w:val="004D3B56"/>
    <w:rsid w:val="004D44A9"/>
    <w:rsid w:val="004D4522"/>
    <w:rsid w:val="004D45A9"/>
    <w:rsid w:val="004D45AB"/>
    <w:rsid w:val="004D45D0"/>
    <w:rsid w:val="004D45D2"/>
    <w:rsid w:val="004D470A"/>
    <w:rsid w:val="004D4765"/>
    <w:rsid w:val="004D497D"/>
    <w:rsid w:val="004D49AC"/>
    <w:rsid w:val="004D4B0B"/>
    <w:rsid w:val="004D4D05"/>
    <w:rsid w:val="004D4D2E"/>
    <w:rsid w:val="004D4E4F"/>
    <w:rsid w:val="004D4FB6"/>
    <w:rsid w:val="004D502D"/>
    <w:rsid w:val="004D5216"/>
    <w:rsid w:val="004D526E"/>
    <w:rsid w:val="004D54E1"/>
    <w:rsid w:val="004D551C"/>
    <w:rsid w:val="004D56DC"/>
    <w:rsid w:val="004D572A"/>
    <w:rsid w:val="004D58FB"/>
    <w:rsid w:val="004D5AF9"/>
    <w:rsid w:val="004D5BBC"/>
    <w:rsid w:val="004D5EA8"/>
    <w:rsid w:val="004D5FF0"/>
    <w:rsid w:val="004D60C6"/>
    <w:rsid w:val="004D63DB"/>
    <w:rsid w:val="004D6787"/>
    <w:rsid w:val="004D6B2A"/>
    <w:rsid w:val="004D6C7C"/>
    <w:rsid w:val="004D7081"/>
    <w:rsid w:val="004D717F"/>
    <w:rsid w:val="004D722B"/>
    <w:rsid w:val="004D72B3"/>
    <w:rsid w:val="004D7369"/>
    <w:rsid w:val="004D73F6"/>
    <w:rsid w:val="004D7619"/>
    <w:rsid w:val="004D76A6"/>
    <w:rsid w:val="004D792C"/>
    <w:rsid w:val="004D7A03"/>
    <w:rsid w:val="004D7A92"/>
    <w:rsid w:val="004D7B22"/>
    <w:rsid w:val="004D7B5C"/>
    <w:rsid w:val="004D7E28"/>
    <w:rsid w:val="004E00B9"/>
    <w:rsid w:val="004E0233"/>
    <w:rsid w:val="004E0433"/>
    <w:rsid w:val="004E04A4"/>
    <w:rsid w:val="004E04C4"/>
    <w:rsid w:val="004E05BA"/>
    <w:rsid w:val="004E0657"/>
    <w:rsid w:val="004E0B07"/>
    <w:rsid w:val="004E0BFB"/>
    <w:rsid w:val="004E0CA6"/>
    <w:rsid w:val="004E0D9B"/>
    <w:rsid w:val="004E0FF2"/>
    <w:rsid w:val="004E1090"/>
    <w:rsid w:val="004E1362"/>
    <w:rsid w:val="004E15DA"/>
    <w:rsid w:val="004E1B38"/>
    <w:rsid w:val="004E1D1E"/>
    <w:rsid w:val="004E1DC9"/>
    <w:rsid w:val="004E1E92"/>
    <w:rsid w:val="004E1FE0"/>
    <w:rsid w:val="004E21EA"/>
    <w:rsid w:val="004E28AD"/>
    <w:rsid w:val="004E2FB3"/>
    <w:rsid w:val="004E30F3"/>
    <w:rsid w:val="004E3256"/>
    <w:rsid w:val="004E330A"/>
    <w:rsid w:val="004E34A4"/>
    <w:rsid w:val="004E35DF"/>
    <w:rsid w:val="004E3682"/>
    <w:rsid w:val="004E3738"/>
    <w:rsid w:val="004E3781"/>
    <w:rsid w:val="004E3836"/>
    <w:rsid w:val="004E3B16"/>
    <w:rsid w:val="004E3B95"/>
    <w:rsid w:val="004E3ECA"/>
    <w:rsid w:val="004E40E2"/>
    <w:rsid w:val="004E4476"/>
    <w:rsid w:val="004E45E5"/>
    <w:rsid w:val="004E4634"/>
    <w:rsid w:val="004E498E"/>
    <w:rsid w:val="004E499B"/>
    <w:rsid w:val="004E4C69"/>
    <w:rsid w:val="004E4D03"/>
    <w:rsid w:val="004E4DAF"/>
    <w:rsid w:val="004E4E9F"/>
    <w:rsid w:val="004E4F51"/>
    <w:rsid w:val="004E5073"/>
    <w:rsid w:val="004E5226"/>
    <w:rsid w:val="004E5251"/>
    <w:rsid w:val="004E541A"/>
    <w:rsid w:val="004E55A9"/>
    <w:rsid w:val="004E573E"/>
    <w:rsid w:val="004E5794"/>
    <w:rsid w:val="004E5805"/>
    <w:rsid w:val="004E589E"/>
    <w:rsid w:val="004E592C"/>
    <w:rsid w:val="004E5952"/>
    <w:rsid w:val="004E5B0E"/>
    <w:rsid w:val="004E5B41"/>
    <w:rsid w:val="004E5BA5"/>
    <w:rsid w:val="004E6606"/>
    <w:rsid w:val="004E68DD"/>
    <w:rsid w:val="004E69A3"/>
    <w:rsid w:val="004E6C29"/>
    <w:rsid w:val="004E6F4C"/>
    <w:rsid w:val="004E70BF"/>
    <w:rsid w:val="004E712E"/>
    <w:rsid w:val="004E7230"/>
    <w:rsid w:val="004E7354"/>
    <w:rsid w:val="004E7427"/>
    <w:rsid w:val="004E7635"/>
    <w:rsid w:val="004E7850"/>
    <w:rsid w:val="004E7C83"/>
    <w:rsid w:val="004E7DD2"/>
    <w:rsid w:val="004E7E2C"/>
    <w:rsid w:val="004E7EEC"/>
    <w:rsid w:val="004F035E"/>
    <w:rsid w:val="004F09C1"/>
    <w:rsid w:val="004F0B22"/>
    <w:rsid w:val="004F0CBC"/>
    <w:rsid w:val="004F0EC7"/>
    <w:rsid w:val="004F0F07"/>
    <w:rsid w:val="004F1042"/>
    <w:rsid w:val="004F141B"/>
    <w:rsid w:val="004F1462"/>
    <w:rsid w:val="004F159A"/>
    <w:rsid w:val="004F172E"/>
    <w:rsid w:val="004F1AF6"/>
    <w:rsid w:val="004F1BCC"/>
    <w:rsid w:val="004F1C1D"/>
    <w:rsid w:val="004F1D7A"/>
    <w:rsid w:val="004F2095"/>
    <w:rsid w:val="004F2100"/>
    <w:rsid w:val="004F23A0"/>
    <w:rsid w:val="004F23F4"/>
    <w:rsid w:val="004F2403"/>
    <w:rsid w:val="004F25F9"/>
    <w:rsid w:val="004F29AE"/>
    <w:rsid w:val="004F2A5F"/>
    <w:rsid w:val="004F2E5C"/>
    <w:rsid w:val="004F2E90"/>
    <w:rsid w:val="004F34E1"/>
    <w:rsid w:val="004F3865"/>
    <w:rsid w:val="004F3CE8"/>
    <w:rsid w:val="004F3D3B"/>
    <w:rsid w:val="004F3DC2"/>
    <w:rsid w:val="004F3EB0"/>
    <w:rsid w:val="004F43A1"/>
    <w:rsid w:val="004F4441"/>
    <w:rsid w:val="004F4722"/>
    <w:rsid w:val="004F4D88"/>
    <w:rsid w:val="004F4E99"/>
    <w:rsid w:val="004F4F07"/>
    <w:rsid w:val="004F5095"/>
    <w:rsid w:val="004F5141"/>
    <w:rsid w:val="004F55FD"/>
    <w:rsid w:val="004F5B60"/>
    <w:rsid w:val="004F5E5D"/>
    <w:rsid w:val="004F5FE0"/>
    <w:rsid w:val="004F613C"/>
    <w:rsid w:val="004F613D"/>
    <w:rsid w:val="004F61AF"/>
    <w:rsid w:val="004F624B"/>
    <w:rsid w:val="004F6516"/>
    <w:rsid w:val="004F6518"/>
    <w:rsid w:val="004F6531"/>
    <w:rsid w:val="004F671A"/>
    <w:rsid w:val="004F67D4"/>
    <w:rsid w:val="004F6A69"/>
    <w:rsid w:val="004F6C9F"/>
    <w:rsid w:val="004F6EA9"/>
    <w:rsid w:val="004F7064"/>
    <w:rsid w:val="005001E1"/>
    <w:rsid w:val="0050064B"/>
    <w:rsid w:val="00500B64"/>
    <w:rsid w:val="00500DE6"/>
    <w:rsid w:val="00501087"/>
    <w:rsid w:val="005011A4"/>
    <w:rsid w:val="005011BC"/>
    <w:rsid w:val="0050122C"/>
    <w:rsid w:val="005014C6"/>
    <w:rsid w:val="00501A85"/>
    <w:rsid w:val="00501C66"/>
    <w:rsid w:val="00501CE8"/>
    <w:rsid w:val="00501F4A"/>
    <w:rsid w:val="00501FB8"/>
    <w:rsid w:val="005020C4"/>
    <w:rsid w:val="0050244F"/>
    <w:rsid w:val="00502636"/>
    <w:rsid w:val="00502668"/>
    <w:rsid w:val="00502824"/>
    <w:rsid w:val="00502AD1"/>
    <w:rsid w:val="00502CBB"/>
    <w:rsid w:val="00502CFE"/>
    <w:rsid w:val="00502E23"/>
    <w:rsid w:val="00502FD8"/>
    <w:rsid w:val="0050325F"/>
    <w:rsid w:val="00503398"/>
    <w:rsid w:val="00503558"/>
    <w:rsid w:val="00503687"/>
    <w:rsid w:val="0050387D"/>
    <w:rsid w:val="00503A37"/>
    <w:rsid w:val="00503D21"/>
    <w:rsid w:val="00503F09"/>
    <w:rsid w:val="0050465B"/>
    <w:rsid w:val="00504670"/>
    <w:rsid w:val="00504A84"/>
    <w:rsid w:val="005051CF"/>
    <w:rsid w:val="00505350"/>
    <w:rsid w:val="00505657"/>
    <w:rsid w:val="00505A87"/>
    <w:rsid w:val="00505B3C"/>
    <w:rsid w:val="00505B49"/>
    <w:rsid w:val="00505E59"/>
    <w:rsid w:val="00506178"/>
    <w:rsid w:val="005061A2"/>
    <w:rsid w:val="0050667E"/>
    <w:rsid w:val="00506A90"/>
    <w:rsid w:val="0050700C"/>
    <w:rsid w:val="0050703A"/>
    <w:rsid w:val="0050705C"/>
    <w:rsid w:val="005070C7"/>
    <w:rsid w:val="0050712D"/>
    <w:rsid w:val="005071FF"/>
    <w:rsid w:val="00507662"/>
    <w:rsid w:val="005076C1"/>
    <w:rsid w:val="00507750"/>
    <w:rsid w:val="00507807"/>
    <w:rsid w:val="00507ABA"/>
    <w:rsid w:val="00507AF6"/>
    <w:rsid w:val="00507F2B"/>
    <w:rsid w:val="005102C6"/>
    <w:rsid w:val="005103A0"/>
    <w:rsid w:val="00510628"/>
    <w:rsid w:val="005109E2"/>
    <w:rsid w:val="005109F8"/>
    <w:rsid w:val="00510ADD"/>
    <w:rsid w:val="00510EC7"/>
    <w:rsid w:val="00510F7F"/>
    <w:rsid w:val="0051105E"/>
    <w:rsid w:val="00511575"/>
    <w:rsid w:val="005119C5"/>
    <w:rsid w:val="00511A69"/>
    <w:rsid w:val="00511AAE"/>
    <w:rsid w:val="00511C70"/>
    <w:rsid w:val="00511C9B"/>
    <w:rsid w:val="00511C9D"/>
    <w:rsid w:val="005121AC"/>
    <w:rsid w:val="0051267D"/>
    <w:rsid w:val="00512893"/>
    <w:rsid w:val="005128B0"/>
    <w:rsid w:val="005129F4"/>
    <w:rsid w:val="00512D4A"/>
    <w:rsid w:val="00512D87"/>
    <w:rsid w:val="00512EC1"/>
    <w:rsid w:val="00512FA0"/>
    <w:rsid w:val="005130D2"/>
    <w:rsid w:val="005131CB"/>
    <w:rsid w:val="0051359E"/>
    <w:rsid w:val="005135AF"/>
    <w:rsid w:val="00513673"/>
    <w:rsid w:val="00513897"/>
    <w:rsid w:val="00513C86"/>
    <w:rsid w:val="00513D62"/>
    <w:rsid w:val="00513D8C"/>
    <w:rsid w:val="00513F0E"/>
    <w:rsid w:val="00514197"/>
    <w:rsid w:val="0051493C"/>
    <w:rsid w:val="00514F31"/>
    <w:rsid w:val="00515161"/>
    <w:rsid w:val="005155C4"/>
    <w:rsid w:val="00515765"/>
    <w:rsid w:val="005158A9"/>
    <w:rsid w:val="00515A7F"/>
    <w:rsid w:val="00515F2B"/>
    <w:rsid w:val="00516031"/>
    <w:rsid w:val="00516358"/>
    <w:rsid w:val="0051645D"/>
    <w:rsid w:val="005166D1"/>
    <w:rsid w:val="00516941"/>
    <w:rsid w:val="00516A73"/>
    <w:rsid w:val="00516AC6"/>
    <w:rsid w:val="00516B98"/>
    <w:rsid w:val="00516D50"/>
    <w:rsid w:val="00516F19"/>
    <w:rsid w:val="00516F7E"/>
    <w:rsid w:val="0051734B"/>
    <w:rsid w:val="005176DB"/>
    <w:rsid w:val="00517776"/>
    <w:rsid w:val="0051788A"/>
    <w:rsid w:val="00517AC5"/>
    <w:rsid w:val="00517CBF"/>
    <w:rsid w:val="00517E6B"/>
    <w:rsid w:val="0052010F"/>
    <w:rsid w:val="0052011D"/>
    <w:rsid w:val="0052036F"/>
    <w:rsid w:val="0052076B"/>
    <w:rsid w:val="00520976"/>
    <w:rsid w:val="005209AA"/>
    <w:rsid w:val="00520CD7"/>
    <w:rsid w:val="00521176"/>
    <w:rsid w:val="00521855"/>
    <w:rsid w:val="00521D88"/>
    <w:rsid w:val="00521FCC"/>
    <w:rsid w:val="005224CC"/>
    <w:rsid w:val="0052263A"/>
    <w:rsid w:val="0052269C"/>
    <w:rsid w:val="00522777"/>
    <w:rsid w:val="00522A44"/>
    <w:rsid w:val="00522F30"/>
    <w:rsid w:val="0052314B"/>
    <w:rsid w:val="005233EF"/>
    <w:rsid w:val="00523582"/>
    <w:rsid w:val="00523C0E"/>
    <w:rsid w:val="00523DFC"/>
    <w:rsid w:val="00523E02"/>
    <w:rsid w:val="00523E86"/>
    <w:rsid w:val="0052419E"/>
    <w:rsid w:val="0052420A"/>
    <w:rsid w:val="0052438E"/>
    <w:rsid w:val="005243FE"/>
    <w:rsid w:val="0052442F"/>
    <w:rsid w:val="00524440"/>
    <w:rsid w:val="005245BA"/>
    <w:rsid w:val="0052488C"/>
    <w:rsid w:val="005248D2"/>
    <w:rsid w:val="00524B1A"/>
    <w:rsid w:val="00524C47"/>
    <w:rsid w:val="00524DF3"/>
    <w:rsid w:val="00524F2A"/>
    <w:rsid w:val="005250F8"/>
    <w:rsid w:val="0052524D"/>
    <w:rsid w:val="005253D8"/>
    <w:rsid w:val="005253EB"/>
    <w:rsid w:val="0052548E"/>
    <w:rsid w:val="00525698"/>
    <w:rsid w:val="005256EF"/>
    <w:rsid w:val="0052575F"/>
    <w:rsid w:val="005257FE"/>
    <w:rsid w:val="005258F7"/>
    <w:rsid w:val="0052594F"/>
    <w:rsid w:val="00525A80"/>
    <w:rsid w:val="00525C0D"/>
    <w:rsid w:val="00525F04"/>
    <w:rsid w:val="00525F5E"/>
    <w:rsid w:val="005262AF"/>
    <w:rsid w:val="00526389"/>
    <w:rsid w:val="005265E9"/>
    <w:rsid w:val="00526604"/>
    <w:rsid w:val="0052697A"/>
    <w:rsid w:val="005269B0"/>
    <w:rsid w:val="00526A39"/>
    <w:rsid w:val="00526A76"/>
    <w:rsid w:val="00526B07"/>
    <w:rsid w:val="00526B1E"/>
    <w:rsid w:val="00526B49"/>
    <w:rsid w:val="00526C03"/>
    <w:rsid w:val="00526D6D"/>
    <w:rsid w:val="00527334"/>
    <w:rsid w:val="00527594"/>
    <w:rsid w:val="00527647"/>
    <w:rsid w:val="005278E0"/>
    <w:rsid w:val="00527C18"/>
    <w:rsid w:val="00527EE0"/>
    <w:rsid w:val="005300B6"/>
    <w:rsid w:val="00530294"/>
    <w:rsid w:val="005302DD"/>
    <w:rsid w:val="00530747"/>
    <w:rsid w:val="0053086C"/>
    <w:rsid w:val="00530E7C"/>
    <w:rsid w:val="00531014"/>
    <w:rsid w:val="005310E5"/>
    <w:rsid w:val="005312B2"/>
    <w:rsid w:val="005314C1"/>
    <w:rsid w:val="00531541"/>
    <w:rsid w:val="005317AC"/>
    <w:rsid w:val="0053186D"/>
    <w:rsid w:val="00531A5D"/>
    <w:rsid w:val="00531A83"/>
    <w:rsid w:val="00531BD2"/>
    <w:rsid w:val="00531D3D"/>
    <w:rsid w:val="00531E4C"/>
    <w:rsid w:val="00531FF0"/>
    <w:rsid w:val="00532059"/>
    <w:rsid w:val="005321A6"/>
    <w:rsid w:val="0053276C"/>
    <w:rsid w:val="005327B1"/>
    <w:rsid w:val="005328C1"/>
    <w:rsid w:val="00532BEE"/>
    <w:rsid w:val="00532D14"/>
    <w:rsid w:val="00532D4D"/>
    <w:rsid w:val="00532D99"/>
    <w:rsid w:val="00532E98"/>
    <w:rsid w:val="00532EC1"/>
    <w:rsid w:val="005331AA"/>
    <w:rsid w:val="00533391"/>
    <w:rsid w:val="005334DE"/>
    <w:rsid w:val="0053360C"/>
    <w:rsid w:val="005337EB"/>
    <w:rsid w:val="005338DF"/>
    <w:rsid w:val="00533A05"/>
    <w:rsid w:val="00533C06"/>
    <w:rsid w:val="00533C2F"/>
    <w:rsid w:val="00533CA7"/>
    <w:rsid w:val="00533F48"/>
    <w:rsid w:val="00533F6A"/>
    <w:rsid w:val="005340DD"/>
    <w:rsid w:val="0053420C"/>
    <w:rsid w:val="00534370"/>
    <w:rsid w:val="005343EE"/>
    <w:rsid w:val="00534407"/>
    <w:rsid w:val="0053449C"/>
    <w:rsid w:val="005344F2"/>
    <w:rsid w:val="00534539"/>
    <w:rsid w:val="005347B1"/>
    <w:rsid w:val="005349E7"/>
    <w:rsid w:val="00534AAB"/>
    <w:rsid w:val="00534C01"/>
    <w:rsid w:val="00534C9E"/>
    <w:rsid w:val="00534E15"/>
    <w:rsid w:val="0053521F"/>
    <w:rsid w:val="005356DD"/>
    <w:rsid w:val="00535746"/>
    <w:rsid w:val="005358A5"/>
    <w:rsid w:val="00535C4E"/>
    <w:rsid w:val="00535D9F"/>
    <w:rsid w:val="00535E84"/>
    <w:rsid w:val="00535ECC"/>
    <w:rsid w:val="00536262"/>
    <w:rsid w:val="005364AB"/>
    <w:rsid w:val="00536943"/>
    <w:rsid w:val="00536A41"/>
    <w:rsid w:val="00536CA3"/>
    <w:rsid w:val="00536CEF"/>
    <w:rsid w:val="00536D43"/>
    <w:rsid w:val="00536E58"/>
    <w:rsid w:val="00537386"/>
    <w:rsid w:val="00537C8B"/>
    <w:rsid w:val="00537CEC"/>
    <w:rsid w:val="00537ED4"/>
    <w:rsid w:val="00537F70"/>
    <w:rsid w:val="00537F96"/>
    <w:rsid w:val="0054012D"/>
    <w:rsid w:val="005404E6"/>
    <w:rsid w:val="0054053E"/>
    <w:rsid w:val="00540AD7"/>
    <w:rsid w:val="00540B9D"/>
    <w:rsid w:val="0054120A"/>
    <w:rsid w:val="00541237"/>
    <w:rsid w:val="005414D3"/>
    <w:rsid w:val="00541614"/>
    <w:rsid w:val="00541F9A"/>
    <w:rsid w:val="00541F9F"/>
    <w:rsid w:val="00542139"/>
    <w:rsid w:val="0054221E"/>
    <w:rsid w:val="0054257F"/>
    <w:rsid w:val="005425B8"/>
    <w:rsid w:val="005425C6"/>
    <w:rsid w:val="0054260A"/>
    <w:rsid w:val="0054277B"/>
    <w:rsid w:val="0054298B"/>
    <w:rsid w:val="00543062"/>
    <w:rsid w:val="005432E7"/>
    <w:rsid w:val="00543E0A"/>
    <w:rsid w:val="00543EE1"/>
    <w:rsid w:val="00543FA8"/>
    <w:rsid w:val="0054403F"/>
    <w:rsid w:val="005441A0"/>
    <w:rsid w:val="0054431D"/>
    <w:rsid w:val="00544404"/>
    <w:rsid w:val="0054442D"/>
    <w:rsid w:val="00544454"/>
    <w:rsid w:val="005445CA"/>
    <w:rsid w:val="005447E1"/>
    <w:rsid w:val="0054497A"/>
    <w:rsid w:val="005449E3"/>
    <w:rsid w:val="00544A3D"/>
    <w:rsid w:val="00544AA3"/>
    <w:rsid w:val="0054504F"/>
    <w:rsid w:val="00545777"/>
    <w:rsid w:val="0054578D"/>
    <w:rsid w:val="005457FD"/>
    <w:rsid w:val="005458AB"/>
    <w:rsid w:val="00545C3A"/>
    <w:rsid w:val="00545E15"/>
    <w:rsid w:val="00545E3C"/>
    <w:rsid w:val="00545F5F"/>
    <w:rsid w:val="005460D3"/>
    <w:rsid w:val="005464DF"/>
    <w:rsid w:val="00546534"/>
    <w:rsid w:val="005465EE"/>
    <w:rsid w:val="0054671F"/>
    <w:rsid w:val="0054683C"/>
    <w:rsid w:val="00546914"/>
    <w:rsid w:val="0054692F"/>
    <w:rsid w:val="00546B5E"/>
    <w:rsid w:val="00546D80"/>
    <w:rsid w:val="00546DB7"/>
    <w:rsid w:val="00546E3B"/>
    <w:rsid w:val="00547196"/>
    <w:rsid w:val="00547283"/>
    <w:rsid w:val="00547D4A"/>
    <w:rsid w:val="00550020"/>
    <w:rsid w:val="0055006D"/>
    <w:rsid w:val="005501E5"/>
    <w:rsid w:val="00550447"/>
    <w:rsid w:val="00550448"/>
    <w:rsid w:val="005507AC"/>
    <w:rsid w:val="005508E3"/>
    <w:rsid w:val="00550F48"/>
    <w:rsid w:val="00551033"/>
    <w:rsid w:val="00551256"/>
    <w:rsid w:val="00551368"/>
    <w:rsid w:val="005516F6"/>
    <w:rsid w:val="00551765"/>
    <w:rsid w:val="0055178E"/>
    <w:rsid w:val="00551A20"/>
    <w:rsid w:val="00551A3F"/>
    <w:rsid w:val="00551E65"/>
    <w:rsid w:val="00551F1B"/>
    <w:rsid w:val="00551FCE"/>
    <w:rsid w:val="00551FF1"/>
    <w:rsid w:val="005521DD"/>
    <w:rsid w:val="005525FD"/>
    <w:rsid w:val="005526C7"/>
    <w:rsid w:val="00552E34"/>
    <w:rsid w:val="00552FE3"/>
    <w:rsid w:val="0055301B"/>
    <w:rsid w:val="00553083"/>
    <w:rsid w:val="00553754"/>
    <w:rsid w:val="00553A4B"/>
    <w:rsid w:val="00553C6C"/>
    <w:rsid w:val="005540DC"/>
    <w:rsid w:val="005545CC"/>
    <w:rsid w:val="00554723"/>
    <w:rsid w:val="00554974"/>
    <w:rsid w:val="00554BCB"/>
    <w:rsid w:val="00554EC1"/>
    <w:rsid w:val="00555091"/>
    <w:rsid w:val="00555096"/>
    <w:rsid w:val="005555B8"/>
    <w:rsid w:val="00555638"/>
    <w:rsid w:val="00555775"/>
    <w:rsid w:val="00555887"/>
    <w:rsid w:val="0055592A"/>
    <w:rsid w:val="0055599E"/>
    <w:rsid w:val="00555D05"/>
    <w:rsid w:val="005561B3"/>
    <w:rsid w:val="0055635F"/>
    <w:rsid w:val="00556709"/>
    <w:rsid w:val="00556751"/>
    <w:rsid w:val="00556926"/>
    <w:rsid w:val="00556D52"/>
    <w:rsid w:val="00557095"/>
    <w:rsid w:val="005571B7"/>
    <w:rsid w:val="00557354"/>
    <w:rsid w:val="0055775D"/>
    <w:rsid w:val="005578BD"/>
    <w:rsid w:val="005579BD"/>
    <w:rsid w:val="00557B4F"/>
    <w:rsid w:val="00557BB8"/>
    <w:rsid w:val="00557D2A"/>
    <w:rsid w:val="00557DF2"/>
    <w:rsid w:val="0056023A"/>
    <w:rsid w:val="00560282"/>
    <w:rsid w:val="00560A23"/>
    <w:rsid w:val="00560CA4"/>
    <w:rsid w:val="005612F8"/>
    <w:rsid w:val="005619F7"/>
    <w:rsid w:val="00561A4F"/>
    <w:rsid w:val="00561C25"/>
    <w:rsid w:val="00561C66"/>
    <w:rsid w:val="00561CF4"/>
    <w:rsid w:val="00562375"/>
    <w:rsid w:val="00562956"/>
    <w:rsid w:val="00563174"/>
    <w:rsid w:val="0056327E"/>
    <w:rsid w:val="00563452"/>
    <w:rsid w:val="005635A4"/>
    <w:rsid w:val="00563AD8"/>
    <w:rsid w:val="00563DA6"/>
    <w:rsid w:val="00563E0A"/>
    <w:rsid w:val="00563E7D"/>
    <w:rsid w:val="00563EBA"/>
    <w:rsid w:val="00563F95"/>
    <w:rsid w:val="00564060"/>
    <w:rsid w:val="005643AB"/>
    <w:rsid w:val="0056466D"/>
    <w:rsid w:val="0056492E"/>
    <w:rsid w:val="005649C0"/>
    <w:rsid w:val="00564B76"/>
    <w:rsid w:val="00564BE8"/>
    <w:rsid w:val="00564C80"/>
    <w:rsid w:val="00564CBA"/>
    <w:rsid w:val="00564FC3"/>
    <w:rsid w:val="00565017"/>
    <w:rsid w:val="0056526B"/>
    <w:rsid w:val="00565284"/>
    <w:rsid w:val="005654D7"/>
    <w:rsid w:val="00565609"/>
    <w:rsid w:val="00565800"/>
    <w:rsid w:val="0056580F"/>
    <w:rsid w:val="00565B12"/>
    <w:rsid w:val="00565C46"/>
    <w:rsid w:val="00565EA4"/>
    <w:rsid w:val="0056616B"/>
    <w:rsid w:val="00566241"/>
    <w:rsid w:val="0056650A"/>
    <w:rsid w:val="005667D0"/>
    <w:rsid w:val="00566972"/>
    <w:rsid w:val="00566AFA"/>
    <w:rsid w:val="00566B4E"/>
    <w:rsid w:val="005671BB"/>
    <w:rsid w:val="00567283"/>
    <w:rsid w:val="0056743A"/>
    <w:rsid w:val="005674AD"/>
    <w:rsid w:val="00567569"/>
    <w:rsid w:val="00567578"/>
    <w:rsid w:val="0056774A"/>
    <w:rsid w:val="00567888"/>
    <w:rsid w:val="0057003A"/>
    <w:rsid w:val="0057009D"/>
    <w:rsid w:val="005704C9"/>
    <w:rsid w:val="005705C4"/>
    <w:rsid w:val="0057091F"/>
    <w:rsid w:val="00570956"/>
    <w:rsid w:val="0057097C"/>
    <w:rsid w:val="00570E5B"/>
    <w:rsid w:val="00570EFE"/>
    <w:rsid w:val="00570F99"/>
    <w:rsid w:val="00571091"/>
    <w:rsid w:val="00571102"/>
    <w:rsid w:val="00571264"/>
    <w:rsid w:val="00571A53"/>
    <w:rsid w:val="00571BC9"/>
    <w:rsid w:val="00571CAD"/>
    <w:rsid w:val="00571D94"/>
    <w:rsid w:val="00571DCC"/>
    <w:rsid w:val="00571FFC"/>
    <w:rsid w:val="00572188"/>
    <w:rsid w:val="00572267"/>
    <w:rsid w:val="0057254D"/>
    <w:rsid w:val="0057274C"/>
    <w:rsid w:val="005729D2"/>
    <w:rsid w:val="00572F70"/>
    <w:rsid w:val="005730C6"/>
    <w:rsid w:val="005731A3"/>
    <w:rsid w:val="00573242"/>
    <w:rsid w:val="0057369D"/>
    <w:rsid w:val="005736CA"/>
    <w:rsid w:val="00573846"/>
    <w:rsid w:val="00573C52"/>
    <w:rsid w:val="00574300"/>
    <w:rsid w:val="005743EC"/>
    <w:rsid w:val="0057452C"/>
    <w:rsid w:val="005747FF"/>
    <w:rsid w:val="0057496C"/>
    <w:rsid w:val="00574B5C"/>
    <w:rsid w:val="00574DA3"/>
    <w:rsid w:val="00574F1E"/>
    <w:rsid w:val="00575051"/>
    <w:rsid w:val="00575202"/>
    <w:rsid w:val="00575314"/>
    <w:rsid w:val="00575495"/>
    <w:rsid w:val="005754DB"/>
    <w:rsid w:val="00575A65"/>
    <w:rsid w:val="00575BF2"/>
    <w:rsid w:val="00575C1F"/>
    <w:rsid w:val="00575DC8"/>
    <w:rsid w:val="00575E4E"/>
    <w:rsid w:val="00575F82"/>
    <w:rsid w:val="0057609B"/>
    <w:rsid w:val="005760EC"/>
    <w:rsid w:val="00576375"/>
    <w:rsid w:val="0057651D"/>
    <w:rsid w:val="00576582"/>
    <w:rsid w:val="00576C88"/>
    <w:rsid w:val="00576C92"/>
    <w:rsid w:val="005770B5"/>
    <w:rsid w:val="005770EB"/>
    <w:rsid w:val="00577111"/>
    <w:rsid w:val="00577298"/>
    <w:rsid w:val="0057771B"/>
    <w:rsid w:val="005778FB"/>
    <w:rsid w:val="00577A64"/>
    <w:rsid w:val="00577CC7"/>
    <w:rsid w:val="00577E32"/>
    <w:rsid w:val="00577F1F"/>
    <w:rsid w:val="00580123"/>
    <w:rsid w:val="00580246"/>
    <w:rsid w:val="005805A7"/>
    <w:rsid w:val="0058065B"/>
    <w:rsid w:val="00580941"/>
    <w:rsid w:val="00580A52"/>
    <w:rsid w:val="00580B43"/>
    <w:rsid w:val="00580CE1"/>
    <w:rsid w:val="00580D35"/>
    <w:rsid w:val="00580DC7"/>
    <w:rsid w:val="00581245"/>
    <w:rsid w:val="00581248"/>
    <w:rsid w:val="00581250"/>
    <w:rsid w:val="00581259"/>
    <w:rsid w:val="005814BB"/>
    <w:rsid w:val="005815B1"/>
    <w:rsid w:val="00581723"/>
    <w:rsid w:val="00581A31"/>
    <w:rsid w:val="00581F17"/>
    <w:rsid w:val="005823E6"/>
    <w:rsid w:val="005824D8"/>
    <w:rsid w:val="005825B6"/>
    <w:rsid w:val="005826BE"/>
    <w:rsid w:val="00582703"/>
    <w:rsid w:val="005828CB"/>
    <w:rsid w:val="00582A81"/>
    <w:rsid w:val="00582B29"/>
    <w:rsid w:val="00582C69"/>
    <w:rsid w:val="00582C8E"/>
    <w:rsid w:val="00582CA5"/>
    <w:rsid w:val="00582F62"/>
    <w:rsid w:val="005830CD"/>
    <w:rsid w:val="0058329F"/>
    <w:rsid w:val="005833F6"/>
    <w:rsid w:val="0058355B"/>
    <w:rsid w:val="005835D6"/>
    <w:rsid w:val="00583919"/>
    <w:rsid w:val="0058397F"/>
    <w:rsid w:val="00583EC4"/>
    <w:rsid w:val="00583F46"/>
    <w:rsid w:val="00583FB6"/>
    <w:rsid w:val="0058408E"/>
    <w:rsid w:val="0058443E"/>
    <w:rsid w:val="005844F9"/>
    <w:rsid w:val="005849ED"/>
    <w:rsid w:val="00584AE1"/>
    <w:rsid w:val="00584B4C"/>
    <w:rsid w:val="00584F0B"/>
    <w:rsid w:val="00584FEC"/>
    <w:rsid w:val="0058501E"/>
    <w:rsid w:val="00585173"/>
    <w:rsid w:val="005852BC"/>
    <w:rsid w:val="0058558D"/>
    <w:rsid w:val="005856C3"/>
    <w:rsid w:val="0058588B"/>
    <w:rsid w:val="00585A32"/>
    <w:rsid w:val="00585A34"/>
    <w:rsid w:val="00585B74"/>
    <w:rsid w:val="00585D50"/>
    <w:rsid w:val="00585D51"/>
    <w:rsid w:val="00585E3F"/>
    <w:rsid w:val="00586189"/>
    <w:rsid w:val="005861DA"/>
    <w:rsid w:val="00586673"/>
    <w:rsid w:val="00586C1F"/>
    <w:rsid w:val="00586FB3"/>
    <w:rsid w:val="00587278"/>
    <w:rsid w:val="00587C9C"/>
    <w:rsid w:val="00587E11"/>
    <w:rsid w:val="00587EE0"/>
    <w:rsid w:val="00590122"/>
    <w:rsid w:val="0059035D"/>
    <w:rsid w:val="005903AF"/>
    <w:rsid w:val="00590604"/>
    <w:rsid w:val="00590613"/>
    <w:rsid w:val="005907B0"/>
    <w:rsid w:val="00590C56"/>
    <w:rsid w:val="00590E84"/>
    <w:rsid w:val="00590FE8"/>
    <w:rsid w:val="005912C7"/>
    <w:rsid w:val="00591459"/>
    <w:rsid w:val="005917FF"/>
    <w:rsid w:val="00591947"/>
    <w:rsid w:val="00591A3B"/>
    <w:rsid w:val="00591A7E"/>
    <w:rsid w:val="00591AA8"/>
    <w:rsid w:val="00591C02"/>
    <w:rsid w:val="00591EA5"/>
    <w:rsid w:val="00592109"/>
    <w:rsid w:val="00592181"/>
    <w:rsid w:val="00592237"/>
    <w:rsid w:val="00592385"/>
    <w:rsid w:val="0059281C"/>
    <w:rsid w:val="00592A63"/>
    <w:rsid w:val="00592A83"/>
    <w:rsid w:val="00592AD5"/>
    <w:rsid w:val="00592BD1"/>
    <w:rsid w:val="00592BED"/>
    <w:rsid w:val="00592D62"/>
    <w:rsid w:val="00592D7A"/>
    <w:rsid w:val="00592EA3"/>
    <w:rsid w:val="0059321E"/>
    <w:rsid w:val="0059341E"/>
    <w:rsid w:val="00593510"/>
    <w:rsid w:val="005936D2"/>
    <w:rsid w:val="0059387B"/>
    <w:rsid w:val="005938CE"/>
    <w:rsid w:val="00593BEE"/>
    <w:rsid w:val="00593E42"/>
    <w:rsid w:val="005946E2"/>
    <w:rsid w:val="00594F1C"/>
    <w:rsid w:val="00594FAB"/>
    <w:rsid w:val="0059501E"/>
    <w:rsid w:val="0059506D"/>
    <w:rsid w:val="00595760"/>
    <w:rsid w:val="00595895"/>
    <w:rsid w:val="005958D7"/>
    <w:rsid w:val="00595E32"/>
    <w:rsid w:val="00595E33"/>
    <w:rsid w:val="00595F97"/>
    <w:rsid w:val="00595FB8"/>
    <w:rsid w:val="0059632C"/>
    <w:rsid w:val="005963B3"/>
    <w:rsid w:val="00596610"/>
    <w:rsid w:val="00596775"/>
    <w:rsid w:val="00596814"/>
    <w:rsid w:val="00596823"/>
    <w:rsid w:val="00596877"/>
    <w:rsid w:val="005968DC"/>
    <w:rsid w:val="00596BC6"/>
    <w:rsid w:val="00596CD5"/>
    <w:rsid w:val="00596E08"/>
    <w:rsid w:val="00596F07"/>
    <w:rsid w:val="00596F64"/>
    <w:rsid w:val="0059743C"/>
    <w:rsid w:val="005974FB"/>
    <w:rsid w:val="005975B8"/>
    <w:rsid w:val="005976B9"/>
    <w:rsid w:val="00597A64"/>
    <w:rsid w:val="00597D11"/>
    <w:rsid w:val="005A027B"/>
    <w:rsid w:val="005A0326"/>
    <w:rsid w:val="005A0490"/>
    <w:rsid w:val="005A0935"/>
    <w:rsid w:val="005A0992"/>
    <w:rsid w:val="005A0B97"/>
    <w:rsid w:val="005A0E37"/>
    <w:rsid w:val="005A0F96"/>
    <w:rsid w:val="005A0FDC"/>
    <w:rsid w:val="005A1443"/>
    <w:rsid w:val="005A14C7"/>
    <w:rsid w:val="005A16EF"/>
    <w:rsid w:val="005A18C7"/>
    <w:rsid w:val="005A18EA"/>
    <w:rsid w:val="005A19AA"/>
    <w:rsid w:val="005A1DB2"/>
    <w:rsid w:val="005A1FA6"/>
    <w:rsid w:val="005A20B6"/>
    <w:rsid w:val="005A2114"/>
    <w:rsid w:val="005A24F5"/>
    <w:rsid w:val="005A2977"/>
    <w:rsid w:val="005A2986"/>
    <w:rsid w:val="005A2B0B"/>
    <w:rsid w:val="005A327E"/>
    <w:rsid w:val="005A343D"/>
    <w:rsid w:val="005A3485"/>
    <w:rsid w:val="005A3639"/>
    <w:rsid w:val="005A3890"/>
    <w:rsid w:val="005A38DF"/>
    <w:rsid w:val="005A3DDC"/>
    <w:rsid w:val="005A3ECE"/>
    <w:rsid w:val="005A4102"/>
    <w:rsid w:val="005A47E7"/>
    <w:rsid w:val="005A484F"/>
    <w:rsid w:val="005A4956"/>
    <w:rsid w:val="005A4BE6"/>
    <w:rsid w:val="005A4DB5"/>
    <w:rsid w:val="005A4EAB"/>
    <w:rsid w:val="005A4F7A"/>
    <w:rsid w:val="005A596F"/>
    <w:rsid w:val="005A5ABD"/>
    <w:rsid w:val="005A5B69"/>
    <w:rsid w:val="005A5BFB"/>
    <w:rsid w:val="005A5D99"/>
    <w:rsid w:val="005A5F6F"/>
    <w:rsid w:val="005A60EB"/>
    <w:rsid w:val="005A63A4"/>
    <w:rsid w:val="005A64F0"/>
    <w:rsid w:val="005A6563"/>
    <w:rsid w:val="005A6668"/>
    <w:rsid w:val="005A6872"/>
    <w:rsid w:val="005A6B73"/>
    <w:rsid w:val="005A6C8F"/>
    <w:rsid w:val="005A6F9D"/>
    <w:rsid w:val="005A6FAE"/>
    <w:rsid w:val="005A6FE2"/>
    <w:rsid w:val="005A733F"/>
    <w:rsid w:val="005A76B1"/>
    <w:rsid w:val="005A7731"/>
    <w:rsid w:val="005A7882"/>
    <w:rsid w:val="005A7A75"/>
    <w:rsid w:val="005A7B06"/>
    <w:rsid w:val="005A7D52"/>
    <w:rsid w:val="005A7E04"/>
    <w:rsid w:val="005A7EFE"/>
    <w:rsid w:val="005B0318"/>
    <w:rsid w:val="005B09F1"/>
    <w:rsid w:val="005B0A9B"/>
    <w:rsid w:val="005B0BB8"/>
    <w:rsid w:val="005B0C7E"/>
    <w:rsid w:val="005B0EB7"/>
    <w:rsid w:val="005B1060"/>
    <w:rsid w:val="005B10D2"/>
    <w:rsid w:val="005B120B"/>
    <w:rsid w:val="005B1275"/>
    <w:rsid w:val="005B13B0"/>
    <w:rsid w:val="005B13F5"/>
    <w:rsid w:val="005B1563"/>
    <w:rsid w:val="005B1614"/>
    <w:rsid w:val="005B1898"/>
    <w:rsid w:val="005B18A7"/>
    <w:rsid w:val="005B19FF"/>
    <w:rsid w:val="005B1AA2"/>
    <w:rsid w:val="005B1AC3"/>
    <w:rsid w:val="005B1B0A"/>
    <w:rsid w:val="005B1BE8"/>
    <w:rsid w:val="005B1E48"/>
    <w:rsid w:val="005B22FD"/>
    <w:rsid w:val="005B24D1"/>
    <w:rsid w:val="005B2F42"/>
    <w:rsid w:val="005B3205"/>
    <w:rsid w:val="005B32A8"/>
    <w:rsid w:val="005B348D"/>
    <w:rsid w:val="005B3776"/>
    <w:rsid w:val="005B396A"/>
    <w:rsid w:val="005B3A3E"/>
    <w:rsid w:val="005B3CB1"/>
    <w:rsid w:val="005B3CC3"/>
    <w:rsid w:val="005B3CE1"/>
    <w:rsid w:val="005B4018"/>
    <w:rsid w:val="005B416D"/>
    <w:rsid w:val="005B420C"/>
    <w:rsid w:val="005B421D"/>
    <w:rsid w:val="005B4271"/>
    <w:rsid w:val="005B42BD"/>
    <w:rsid w:val="005B4934"/>
    <w:rsid w:val="005B4B39"/>
    <w:rsid w:val="005B4CA7"/>
    <w:rsid w:val="005B4FF8"/>
    <w:rsid w:val="005B51B4"/>
    <w:rsid w:val="005B5272"/>
    <w:rsid w:val="005B541D"/>
    <w:rsid w:val="005B5A91"/>
    <w:rsid w:val="005B5FBA"/>
    <w:rsid w:val="005B60F9"/>
    <w:rsid w:val="005B61CE"/>
    <w:rsid w:val="005B61D0"/>
    <w:rsid w:val="005B642D"/>
    <w:rsid w:val="005B663E"/>
    <w:rsid w:val="005B6688"/>
    <w:rsid w:val="005B69D5"/>
    <w:rsid w:val="005B6AD3"/>
    <w:rsid w:val="005B6B26"/>
    <w:rsid w:val="005B6C4C"/>
    <w:rsid w:val="005B6FD3"/>
    <w:rsid w:val="005B7382"/>
    <w:rsid w:val="005B748D"/>
    <w:rsid w:val="005B74C3"/>
    <w:rsid w:val="005B7688"/>
    <w:rsid w:val="005B786F"/>
    <w:rsid w:val="005B7A17"/>
    <w:rsid w:val="005B7A41"/>
    <w:rsid w:val="005B7C05"/>
    <w:rsid w:val="005B7DFA"/>
    <w:rsid w:val="005B7E26"/>
    <w:rsid w:val="005C03C9"/>
    <w:rsid w:val="005C06F6"/>
    <w:rsid w:val="005C0865"/>
    <w:rsid w:val="005C08CE"/>
    <w:rsid w:val="005C09B2"/>
    <w:rsid w:val="005C1566"/>
    <w:rsid w:val="005C160E"/>
    <w:rsid w:val="005C161B"/>
    <w:rsid w:val="005C1CA8"/>
    <w:rsid w:val="005C1CCD"/>
    <w:rsid w:val="005C1D30"/>
    <w:rsid w:val="005C2171"/>
    <w:rsid w:val="005C2232"/>
    <w:rsid w:val="005C2237"/>
    <w:rsid w:val="005C239A"/>
    <w:rsid w:val="005C2A86"/>
    <w:rsid w:val="005C2AC3"/>
    <w:rsid w:val="005C2B44"/>
    <w:rsid w:val="005C2B69"/>
    <w:rsid w:val="005C2D82"/>
    <w:rsid w:val="005C2D86"/>
    <w:rsid w:val="005C2E8B"/>
    <w:rsid w:val="005C2FE4"/>
    <w:rsid w:val="005C3365"/>
    <w:rsid w:val="005C34E7"/>
    <w:rsid w:val="005C352A"/>
    <w:rsid w:val="005C3568"/>
    <w:rsid w:val="005C35AC"/>
    <w:rsid w:val="005C3652"/>
    <w:rsid w:val="005C3691"/>
    <w:rsid w:val="005C36B4"/>
    <w:rsid w:val="005C38EF"/>
    <w:rsid w:val="005C3A50"/>
    <w:rsid w:val="005C3C3B"/>
    <w:rsid w:val="005C40EB"/>
    <w:rsid w:val="005C4304"/>
    <w:rsid w:val="005C431A"/>
    <w:rsid w:val="005C4389"/>
    <w:rsid w:val="005C48FB"/>
    <w:rsid w:val="005C4902"/>
    <w:rsid w:val="005C4BCA"/>
    <w:rsid w:val="005C5048"/>
    <w:rsid w:val="005C50EF"/>
    <w:rsid w:val="005C518E"/>
    <w:rsid w:val="005C51D6"/>
    <w:rsid w:val="005C5239"/>
    <w:rsid w:val="005C52C9"/>
    <w:rsid w:val="005C54C3"/>
    <w:rsid w:val="005C5679"/>
    <w:rsid w:val="005C58D1"/>
    <w:rsid w:val="005C5B76"/>
    <w:rsid w:val="005C5CB2"/>
    <w:rsid w:val="005C5E40"/>
    <w:rsid w:val="005C614A"/>
    <w:rsid w:val="005C6277"/>
    <w:rsid w:val="005C64AE"/>
    <w:rsid w:val="005C675E"/>
    <w:rsid w:val="005C6890"/>
    <w:rsid w:val="005C6A88"/>
    <w:rsid w:val="005C6E04"/>
    <w:rsid w:val="005C758D"/>
    <w:rsid w:val="005C7629"/>
    <w:rsid w:val="005C776E"/>
    <w:rsid w:val="005C7794"/>
    <w:rsid w:val="005C7AEF"/>
    <w:rsid w:val="005C7CC5"/>
    <w:rsid w:val="005D0363"/>
    <w:rsid w:val="005D0392"/>
    <w:rsid w:val="005D03BA"/>
    <w:rsid w:val="005D03D3"/>
    <w:rsid w:val="005D03F0"/>
    <w:rsid w:val="005D04BD"/>
    <w:rsid w:val="005D0670"/>
    <w:rsid w:val="005D0A57"/>
    <w:rsid w:val="005D0C07"/>
    <w:rsid w:val="005D0C87"/>
    <w:rsid w:val="005D0D78"/>
    <w:rsid w:val="005D0DBD"/>
    <w:rsid w:val="005D0FE4"/>
    <w:rsid w:val="005D101B"/>
    <w:rsid w:val="005D1250"/>
    <w:rsid w:val="005D18ED"/>
    <w:rsid w:val="005D1925"/>
    <w:rsid w:val="005D1929"/>
    <w:rsid w:val="005D1AF6"/>
    <w:rsid w:val="005D1C71"/>
    <w:rsid w:val="005D1D63"/>
    <w:rsid w:val="005D1F44"/>
    <w:rsid w:val="005D2068"/>
    <w:rsid w:val="005D2096"/>
    <w:rsid w:val="005D29F6"/>
    <w:rsid w:val="005D2C41"/>
    <w:rsid w:val="005D2C7F"/>
    <w:rsid w:val="005D32D7"/>
    <w:rsid w:val="005D346A"/>
    <w:rsid w:val="005D3802"/>
    <w:rsid w:val="005D38AD"/>
    <w:rsid w:val="005D3C7E"/>
    <w:rsid w:val="005D3E32"/>
    <w:rsid w:val="005D3FEF"/>
    <w:rsid w:val="005D40AB"/>
    <w:rsid w:val="005D4243"/>
    <w:rsid w:val="005D4724"/>
    <w:rsid w:val="005D48E3"/>
    <w:rsid w:val="005D4A8C"/>
    <w:rsid w:val="005D4AC5"/>
    <w:rsid w:val="005D4B13"/>
    <w:rsid w:val="005D4C65"/>
    <w:rsid w:val="005D4E7D"/>
    <w:rsid w:val="005D4FA2"/>
    <w:rsid w:val="005D50F5"/>
    <w:rsid w:val="005D5290"/>
    <w:rsid w:val="005D5381"/>
    <w:rsid w:val="005D5477"/>
    <w:rsid w:val="005D5542"/>
    <w:rsid w:val="005D57FC"/>
    <w:rsid w:val="005D581E"/>
    <w:rsid w:val="005D5BE3"/>
    <w:rsid w:val="005D5E4D"/>
    <w:rsid w:val="005D60DA"/>
    <w:rsid w:val="005D67B8"/>
    <w:rsid w:val="005D67D0"/>
    <w:rsid w:val="005D6907"/>
    <w:rsid w:val="005D6C08"/>
    <w:rsid w:val="005D6CF5"/>
    <w:rsid w:val="005D6DEC"/>
    <w:rsid w:val="005D6E0F"/>
    <w:rsid w:val="005D6F0E"/>
    <w:rsid w:val="005D7079"/>
    <w:rsid w:val="005D72C7"/>
    <w:rsid w:val="005D75D3"/>
    <w:rsid w:val="005D7622"/>
    <w:rsid w:val="005D7A85"/>
    <w:rsid w:val="005D7ADC"/>
    <w:rsid w:val="005D7E50"/>
    <w:rsid w:val="005D7E55"/>
    <w:rsid w:val="005D7F7C"/>
    <w:rsid w:val="005E0439"/>
    <w:rsid w:val="005E0611"/>
    <w:rsid w:val="005E0631"/>
    <w:rsid w:val="005E0731"/>
    <w:rsid w:val="005E0872"/>
    <w:rsid w:val="005E0C41"/>
    <w:rsid w:val="005E0D38"/>
    <w:rsid w:val="005E0D7C"/>
    <w:rsid w:val="005E0F48"/>
    <w:rsid w:val="005E1341"/>
    <w:rsid w:val="005E13D4"/>
    <w:rsid w:val="005E13F5"/>
    <w:rsid w:val="005E151A"/>
    <w:rsid w:val="005E1548"/>
    <w:rsid w:val="005E16C6"/>
    <w:rsid w:val="005E1713"/>
    <w:rsid w:val="005E17CA"/>
    <w:rsid w:val="005E1A51"/>
    <w:rsid w:val="005E1FF2"/>
    <w:rsid w:val="005E2215"/>
    <w:rsid w:val="005E2269"/>
    <w:rsid w:val="005E2430"/>
    <w:rsid w:val="005E2487"/>
    <w:rsid w:val="005E25A0"/>
    <w:rsid w:val="005E2769"/>
    <w:rsid w:val="005E27DA"/>
    <w:rsid w:val="005E28FB"/>
    <w:rsid w:val="005E2A78"/>
    <w:rsid w:val="005E2C5E"/>
    <w:rsid w:val="005E2E03"/>
    <w:rsid w:val="005E2E56"/>
    <w:rsid w:val="005E2E82"/>
    <w:rsid w:val="005E31E4"/>
    <w:rsid w:val="005E3754"/>
    <w:rsid w:val="005E37C2"/>
    <w:rsid w:val="005E389A"/>
    <w:rsid w:val="005E39CA"/>
    <w:rsid w:val="005E3C5F"/>
    <w:rsid w:val="005E3CAC"/>
    <w:rsid w:val="005E3EDD"/>
    <w:rsid w:val="005E420F"/>
    <w:rsid w:val="005E488C"/>
    <w:rsid w:val="005E4B1B"/>
    <w:rsid w:val="005E4DEA"/>
    <w:rsid w:val="005E4EA0"/>
    <w:rsid w:val="005E50CB"/>
    <w:rsid w:val="005E5666"/>
    <w:rsid w:val="005E580A"/>
    <w:rsid w:val="005E5A85"/>
    <w:rsid w:val="005E5B57"/>
    <w:rsid w:val="005E5C55"/>
    <w:rsid w:val="005E5ECE"/>
    <w:rsid w:val="005E5FCE"/>
    <w:rsid w:val="005E61CA"/>
    <w:rsid w:val="005E6615"/>
    <w:rsid w:val="005E6716"/>
    <w:rsid w:val="005E6722"/>
    <w:rsid w:val="005E6ACA"/>
    <w:rsid w:val="005E6ACC"/>
    <w:rsid w:val="005E6B6F"/>
    <w:rsid w:val="005E6DBD"/>
    <w:rsid w:val="005E6E12"/>
    <w:rsid w:val="005E728A"/>
    <w:rsid w:val="005E74F9"/>
    <w:rsid w:val="005E779D"/>
    <w:rsid w:val="005E7911"/>
    <w:rsid w:val="005E7949"/>
    <w:rsid w:val="005E7B4C"/>
    <w:rsid w:val="005E7B56"/>
    <w:rsid w:val="005E7F5C"/>
    <w:rsid w:val="005F01D3"/>
    <w:rsid w:val="005F040E"/>
    <w:rsid w:val="005F07BB"/>
    <w:rsid w:val="005F0914"/>
    <w:rsid w:val="005F097C"/>
    <w:rsid w:val="005F09D2"/>
    <w:rsid w:val="005F0AE0"/>
    <w:rsid w:val="005F0B26"/>
    <w:rsid w:val="005F0BC5"/>
    <w:rsid w:val="005F1108"/>
    <w:rsid w:val="005F118E"/>
    <w:rsid w:val="005F11F2"/>
    <w:rsid w:val="005F19CA"/>
    <w:rsid w:val="005F1CC1"/>
    <w:rsid w:val="005F1D1A"/>
    <w:rsid w:val="005F1EB2"/>
    <w:rsid w:val="005F1EEE"/>
    <w:rsid w:val="005F1F47"/>
    <w:rsid w:val="005F2603"/>
    <w:rsid w:val="005F29FF"/>
    <w:rsid w:val="005F2A68"/>
    <w:rsid w:val="005F2BE3"/>
    <w:rsid w:val="005F2C52"/>
    <w:rsid w:val="005F2D9A"/>
    <w:rsid w:val="005F2FA6"/>
    <w:rsid w:val="005F3001"/>
    <w:rsid w:val="005F303B"/>
    <w:rsid w:val="005F3227"/>
    <w:rsid w:val="005F346A"/>
    <w:rsid w:val="005F3490"/>
    <w:rsid w:val="005F350B"/>
    <w:rsid w:val="005F35AF"/>
    <w:rsid w:val="005F3600"/>
    <w:rsid w:val="005F3629"/>
    <w:rsid w:val="005F3706"/>
    <w:rsid w:val="005F37C1"/>
    <w:rsid w:val="005F3AB3"/>
    <w:rsid w:val="005F3BD7"/>
    <w:rsid w:val="005F3C0E"/>
    <w:rsid w:val="005F3C63"/>
    <w:rsid w:val="005F3D90"/>
    <w:rsid w:val="005F3E18"/>
    <w:rsid w:val="005F45C6"/>
    <w:rsid w:val="005F4619"/>
    <w:rsid w:val="005F4972"/>
    <w:rsid w:val="005F4AB1"/>
    <w:rsid w:val="005F4B23"/>
    <w:rsid w:val="005F4BAB"/>
    <w:rsid w:val="005F4C38"/>
    <w:rsid w:val="005F5299"/>
    <w:rsid w:val="005F53E0"/>
    <w:rsid w:val="005F552A"/>
    <w:rsid w:val="005F5578"/>
    <w:rsid w:val="005F55CF"/>
    <w:rsid w:val="005F5A31"/>
    <w:rsid w:val="005F5A84"/>
    <w:rsid w:val="005F5B2B"/>
    <w:rsid w:val="005F5B87"/>
    <w:rsid w:val="005F5C5B"/>
    <w:rsid w:val="005F5CCE"/>
    <w:rsid w:val="005F624B"/>
    <w:rsid w:val="005F64F8"/>
    <w:rsid w:val="005F6A25"/>
    <w:rsid w:val="005F6A84"/>
    <w:rsid w:val="005F6E29"/>
    <w:rsid w:val="005F741B"/>
    <w:rsid w:val="005F7579"/>
    <w:rsid w:val="005F76E9"/>
    <w:rsid w:val="005F77D2"/>
    <w:rsid w:val="005F7904"/>
    <w:rsid w:val="005F7BFE"/>
    <w:rsid w:val="005F7C78"/>
    <w:rsid w:val="005F7D9C"/>
    <w:rsid w:val="005F7ED4"/>
    <w:rsid w:val="00600117"/>
    <w:rsid w:val="00600175"/>
    <w:rsid w:val="00600358"/>
    <w:rsid w:val="0060065F"/>
    <w:rsid w:val="006006DF"/>
    <w:rsid w:val="00600922"/>
    <w:rsid w:val="00600B83"/>
    <w:rsid w:val="00600BA4"/>
    <w:rsid w:val="00600C03"/>
    <w:rsid w:val="00600D77"/>
    <w:rsid w:val="00600E84"/>
    <w:rsid w:val="00601389"/>
    <w:rsid w:val="006013F8"/>
    <w:rsid w:val="0060158F"/>
    <w:rsid w:val="006015FF"/>
    <w:rsid w:val="00601633"/>
    <w:rsid w:val="0060168F"/>
    <w:rsid w:val="006016B0"/>
    <w:rsid w:val="00601842"/>
    <w:rsid w:val="006018FD"/>
    <w:rsid w:val="00601B1A"/>
    <w:rsid w:val="00601B41"/>
    <w:rsid w:val="00601D83"/>
    <w:rsid w:val="00601E0A"/>
    <w:rsid w:val="00602125"/>
    <w:rsid w:val="00602783"/>
    <w:rsid w:val="00602821"/>
    <w:rsid w:val="00602E88"/>
    <w:rsid w:val="0060326D"/>
    <w:rsid w:val="00603A05"/>
    <w:rsid w:val="00603BB9"/>
    <w:rsid w:val="00603E6A"/>
    <w:rsid w:val="00603F5D"/>
    <w:rsid w:val="006040E1"/>
    <w:rsid w:val="006041D2"/>
    <w:rsid w:val="0060456B"/>
    <w:rsid w:val="0060459D"/>
    <w:rsid w:val="0060474C"/>
    <w:rsid w:val="00604797"/>
    <w:rsid w:val="00604AFA"/>
    <w:rsid w:val="00604B63"/>
    <w:rsid w:val="00604C73"/>
    <w:rsid w:val="00604CF5"/>
    <w:rsid w:val="00604E6D"/>
    <w:rsid w:val="00604FCC"/>
    <w:rsid w:val="00605076"/>
    <w:rsid w:val="0060542E"/>
    <w:rsid w:val="0060545C"/>
    <w:rsid w:val="006054BB"/>
    <w:rsid w:val="006057F8"/>
    <w:rsid w:val="00605B37"/>
    <w:rsid w:val="00605C70"/>
    <w:rsid w:val="00605CF3"/>
    <w:rsid w:val="006060F3"/>
    <w:rsid w:val="00606214"/>
    <w:rsid w:val="0060633F"/>
    <w:rsid w:val="0060646A"/>
    <w:rsid w:val="0060659A"/>
    <w:rsid w:val="00606771"/>
    <w:rsid w:val="00606803"/>
    <w:rsid w:val="00606987"/>
    <w:rsid w:val="00606A93"/>
    <w:rsid w:val="00606EFC"/>
    <w:rsid w:val="0060711B"/>
    <w:rsid w:val="00607142"/>
    <w:rsid w:val="006072C3"/>
    <w:rsid w:val="0060789D"/>
    <w:rsid w:val="00607A33"/>
    <w:rsid w:val="00607ADE"/>
    <w:rsid w:val="00607BD4"/>
    <w:rsid w:val="00607C78"/>
    <w:rsid w:val="00607DB2"/>
    <w:rsid w:val="00610044"/>
    <w:rsid w:val="00610222"/>
    <w:rsid w:val="006102EA"/>
    <w:rsid w:val="006103FB"/>
    <w:rsid w:val="006107C6"/>
    <w:rsid w:val="0061094B"/>
    <w:rsid w:val="00610A78"/>
    <w:rsid w:val="00610B5E"/>
    <w:rsid w:val="00610F8F"/>
    <w:rsid w:val="00611200"/>
    <w:rsid w:val="00611490"/>
    <w:rsid w:val="00611658"/>
    <w:rsid w:val="00611725"/>
    <w:rsid w:val="006117AD"/>
    <w:rsid w:val="0061183D"/>
    <w:rsid w:val="00611E60"/>
    <w:rsid w:val="00611F6E"/>
    <w:rsid w:val="00611FDB"/>
    <w:rsid w:val="00612425"/>
    <w:rsid w:val="006124D2"/>
    <w:rsid w:val="00612624"/>
    <w:rsid w:val="00612637"/>
    <w:rsid w:val="006128F8"/>
    <w:rsid w:val="00612A69"/>
    <w:rsid w:val="00612E07"/>
    <w:rsid w:val="00613161"/>
    <w:rsid w:val="006134AE"/>
    <w:rsid w:val="006134CD"/>
    <w:rsid w:val="00613507"/>
    <w:rsid w:val="00613B0E"/>
    <w:rsid w:val="00613CB2"/>
    <w:rsid w:val="00613CD4"/>
    <w:rsid w:val="006141F7"/>
    <w:rsid w:val="006143A8"/>
    <w:rsid w:val="00614FE1"/>
    <w:rsid w:val="0061547D"/>
    <w:rsid w:val="00615674"/>
    <w:rsid w:val="00615944"/>
    <w:rsid w:val="00615B3F"/>
    <w:rsid w:val="00615C49"/>
    <w:rsid w:val="00615CC0"/>
    <w:rsid w:val="00615FAF"/>
    <w:rsid w:val="00616610"/>
    <w:rsid w:val="00616EEC"/>
    <w:rsid w:val="0061726E"/>
    <w:rsid w:val="00617327"/>
    <w:rsid w:val="006174C8"/>
    <w:rsid w:val="006176B9"/>
    <w:rsid w:val="00617859"/>
    <w:rsid w:val="006178FF"/>
    <w:rsid w:val="006179E1"/>
    <w:rsid w:val="00617C23"/>
    <w:rsid w:val="00617C38"/>
    <w:rsid w:val="00617D24"/>
    <w:rsid w:val="0062020D"/>
    <w:rsid w:val="006205A6"/>
    <w:rsid w:val="00620F26"/>
    <w:rsid w:val="00620F2D"/>
    <w:rsid w:val="00621010"/>
    <w:rsid w:val="0062133C"/>
    <w:rsid w:val="00621346"/>
    <w:rsid w:val="00621353"/>
    <w:rsid w:val="006214EA"/>
    <w:rsid w:val="0062155C"/>
    <w:rsid w:val="006215BA"/>
    <w:rsid w:val="00621AD7"/>
    <w:rsid w:val="0062212E"/>
    <w:rsid w:val="0062220F"/>
    <w:rsid w:val="006225C0"/>
    <w:rsid w:val="006225E5"/>
    <w:rsid w:val="00622893"/>
    <w:rsid w:val="006229D4"/>
    <w:rsid w:val="00622A13"/>
    <w:rsid w:val="00622A28"/>
    <w:rsid w:val="00622A6D"/>
    <w:rsid w:val="00622B9B"/>
    <w:rsid w:val="00622F02"/>
    <w:rsid w:val="00622F79"/>
    <w:rsid w:val="00623219"/>
    <w:rsid w:val="00623370"/>
    <w:rsid w:val="006234BB"/>
    <w:rsid w:val="0062398E"/>
    <w:rsid w:val="00623B1D"/>
    <w:rsid w:val="00623D30"/>
    <w:rsid w:val="00623DA3"/>
    <w:rsid w:val="00623FC1"/>
    <w:rsid w:val="00624128"/>
    <w:rsid w:val="00624231"/>
    <w:rsid w:val="00624394"/>
    <w:rsid w:val="006243DA"/>
    <w:rsid w:val="00624728"/>
    <w:rsid w:val="0062475A"/>
    <w:rsid w:val="006248C0"/>
    <w:rsid w:val="00624949"/>
    <w:rsid w:val="00624AFE"/>
    <w:rsid w:val="00624B34"/>
    <w:rsid w:val="00624FBF"/>
    <w:rsid w:val="00624FD0"/>
    <w:rsid w:val="00625309"/>
    <w:rsid w:val="00625633"/>
    <w:rsid w:val="006259D8"/>
    <w:rsid w:val="00625EFC"/>
    <w:rsid w:val="0062614F"/>
    <w:rsid w:val="00626156"/>
    <w:rsid w:val="006263F7"/>
    <w:rsid w:val="00626659"/>
    <w:rsid w:val="00626BC2"/>
    <w:rsid w:val="00626C45"/>
    <w:rsid w:val="00627065"/>
    <w:rsid w:val="0062734F"/>
    <w:rsid w:val="0062743A"/>
    <w:rsid w:val="006275F1"/>
    <w:rsid w:val="0062761E"/>
    <w:rsid w:val="0062762F"/>
    <w:rsid w:val="0062793E"/>
    <w:rsid w:val="00630330"/>
    <w:rsid w:val="0063052F"/>
    <w:rsid w:val="0063068D"/>
    <w:rsid w:val="006306C5"/>
    <w:rsid w:val="006308A0"/>
    <w:rsid w:val="006308DB"/>
    <w:rsid w:val="00630E01"/>
    <w:rsid w:val="00630F44"/>
    <w:rsid w:val="00631048"/>
    <w:rsid w:val="00631140"/>
    <w:rsid w:val="00631149"/>
    <w:rsid w:val="006314E9"/>
    <w:rsid w:val="00631589"/>
    <w:rsid w:val="006317DD"/>
    <w:rsid w:val="00631AA9"/>
    <w:rsid w:val="00631DA3"/>
    <w:rsid w:val="0063210B"/>
    <w:rsid w:val="0063240A"/>
    <w:rsid w:val="006324DB"/>
    <w:rsid w:val="006325B6"/>
    <w:rsid w:val="00632690"/>
    <w:rsid w:val="00632843"/>
    <w:rsid w:val="00632BBE"/>
    <w:rsid w:val="00632CAA"/>
    <w:rsid w:val="00632D24"/>
    <w:rsid w:val="00632F79"/>
    <w:rsid w:val="00633068"/>
    <w:rsid w:val="00633594"/>
    <w:rsid w:val="006335A0"/>
    <w:rsid w:val="006339AA"/>
    <w:rsid w:val="00633A61"/>
    <w:rsid w:val="00633C62"/>
    <w:rsid w:val="00633CB3"/>
    <w:rsid w:val="00633CB8"/>
    <w:rsid w:val="00633D9A"/>
    <w:rsid w:val="00633EF5"/>
    <w:rsid w:val="00633F0D"/>
    <w:rsid w:val="00633F89"/>
    <w:rsid w:val="0063418C"/>
    <w:rsid w:val="00634513"/>
    <w:rsid w:val="0063460B"/>
    <w:rsid w:val="0063470A"/>
    <w:rsid w:val="00634778"/>
    <w:rsid w:val="006347A3"/>
    <w:rsid w:val="006347C5"/>
    <w:rsid w:val="0063494B"/>
    <w:rsid w:val="00634B3D"/>
    <w:rsid w:val="00634EA1"/>
    <w:rsid w:val="00635074"/>
    <w:rsid w:val="0063572B"/>
    <w:rsid w:val="00635750"/>
    <w:rsid w:val="006358CC"/>
    <w:rsid w:val="006358E3"/>
    <w:rsid w:val="00635909"/>
    <w:rsid w:val="00635962"/>
    <w:rsid w:val="00635B49"/>
    <w:rsid w:val="00636469"/>
    <w:rsid w:val="0063681E"/>
    <w:rsid w:val="00636896"/>
    <w:rsid w:val="0063689A"/>
    <w:rsid w:val="006369E1"/>
    <w:rsid w:val="00636BD2"/>
    <w:rsid w:val="00637016"/>
    <w:rsid w:val="0063726C"/>
    <w:rsid w:val="00637308"/>
    <w:rsid w:val="006374F0"/>
    <w:rsid w:val="0063755C"/>
    <w:rsid w:val="006376CD"/>
    <w:rsid w:val="0063780A"/>
    <w:rsid w:val="0063781B"/>
    <w:rsid w:val="00637C6C"/>
    <w:rsid w:val="00637E37"/>
    <w:rsid w:val="00640035"/>
    <w:rsid w:val="00640677"/>
    <w:rsid w:val="00640794"/>
    <w:rsid w:val="00640889"/>
    <w:rsid w:val="006409B2"/>
    <w:rsid w:val="00640C02"/>
    <w:rsid w:val="00640CEC"/>
    <w:rsid w:val="00640E75"/>
    <w:rsid w:val="00640E98"/>
    <w:rsid w:val="00640EE4"/>
    <w:rsid w:val="00641124"/>
    <w:rsid w:val="0064120F"/>
    <w:rsid w:val="006412BC"/>
    <w:rsid w:val="00641576"/>
    <w:rsid w:val="006416DB"/>
    <w:rsid w:val="00641A0D"/>
    <w:rsid w:val="00641A65"/>
    <w:rsid w:val="00641AE6"/>
    <w:rsid w:val="00641D13"/>
    <w:rsid w:val="00641EA9"/>
    <w:rsid w:val="00642021"/>
    <w:rsid w:val="00642285"/>
    <w:rsid w:val="006422AB"/>
    <w:rsid w:val="0064246A"/>
    <w:rsid w:val="0064274D"/>
    <w:rsid w:val="00642B10"/>
    <w:rsid w:val="00642D75"/>
    <w:rsid w:val="006430EF"/>
    <w:rsid w:val="006431D6"/>
    <w:rsid w:val="006437C9"/>
    <w:rsid w:val="00643BC4"/>
    <w:rsid w:val="00643C5B"/>
    <w:rsid w:val="00643CC9"/>
    <w:rsid w:val="00643EB0"/>
    <w:rsid w:val="00643EE6"/>
    <w:rsid w:val="00643EF0"/>
    <w:rsid w:val="006442D6"/>
    <w:rsid w:val="0064473F"/>
    <w:rsid w:val="006447B6"/>
    <w:rsid w:val="00644981"/>
    <w:rsid w:val="00644A85"/>
    <w:rsid w:val="00644B7E"/>
    <w:rsid w:val="00644CC5"/>
    <w:rsid w:val="00644E9C"/>
    <w:rsid w:val="00644F18"/>
    <w:rsid w:val="0064506F"/>
    <w:rsid w:val="0064513F"/>
    <w:rsid w:val="006455D3"/>
    <w:rsid w:val="00645762"/>
    <w:rsid w:val="00645D62"/>
    <w:rsid w:val="00645DD3"/>
    <w:rsid w:val="006462C3"/>
    <w:rsid w:val="0064655F"/>
    <w:rsid w:val="00646731"/>
    <w:rsid w:val="0064677A"/>
    <w:rsid w:val="006467BF"/>
    <w:rsid w:val="00646AEB"/>
    <w:rsid w:val="00646B14"/>
    <w:rsid w:val="00646BEC"/>
    <w:rsid w:val="0064707C"/>
    <w:rsid w:val="006470A5"/>
    <w:rsid w:val="00647537"/>
    <w:rsid w:val="00647559"/>
    <w:rsid w:val="00647BE4"/>
    <w:rsid w:val="00647D01"/>
    <w:rsid w:val="00647D0F"/>
    <w:rsid w:val="00647DC4"/>
    <w:rsid w:val="006500FE"/>
    <w:rsid w:val="0065019F"/>
    <w:rsid w:val="006501FB"/>
    <w:rsid w:val="0065037F"/>
    <w:rsid w:val="00650473"/>
    <w:rsid w:val="0065057B"/>
    <w:rsid w:val="00650595"/>
    <w:rsid w:val="00650A5E"/>
    <w:rsid w:val="00650B73"/>
    <w:rsid w:val="00650BD2"/>
    <w:rsid w:val="00650FC5"/>
    <w:rsid w:val="00651001"/>
    <w:rsid w:val="006511E4"/>
    <w:rsid w:val="006513BB"/>
    <w:rsid w:val="00651690"/>
    <w:rsid w:val="006517E9"/>
    <w:rsid w:val="00651963"/>
    <w:rsid w:val="00651B23"/>
    <w:rsid w:val="00651C83"/>
    <w:rsid w:val="00651FBB"/>
    <w:rsid w:val="00651FC6"/>
    <w:rsid w:val="0065210C"/>
    <w:rsid w:val="00652691"/>
    <w:rsid w:val="00652B1C"/>
    <w:rsid w:val="00652B40"/>
    <w:rsid w:val="00652B81"/>
    <w:rsid w:val="00652EEE"/>
    <w:rsid w:val="00653376"/>
    <w:rsid w:val="006534BB"/>
    <w:rsid w:val="006534FC"/>
    <w:rsid w:val="006535CD"/>
    <w:rsid w:val="00653792"/>
    <w:rsid w:val="00653A8A"/>
    <w:rsid w:val="00653BCB"/>
    <w:rsid w:val="006544AD"/>
    <w:rsid w:val="006545F5"/>
    <w:rsid w:val="0065468A"/>
    <w:rsid w:val="006549F3"/>
    <w:rsid w:val="00654B63"/>
    <w:rsid w:val="00654BF8"/>
    <w:rsid w:val="00654ED5"/>
    <w:rsid w:val="00655188"/>
    <w:rsid w:val="006551F1"/>
    <w:rsid w:val="006555C3"/>
    <w:rsid w:val="006557BF"/>
    <w:rsid w:val="006558C8"/>
    <w:rsid w:val="00655934"/>
    <w:rsid w:val="00655B6E"/>
    <w:rsid w:val="00655C70"/>
    <w:rsid w:val="00655E4F"/>
    <w:rsid w:val="0065607E"/>
    <w:rsid w:val="0065613F"/>
    <w:rsid w:val="00656345"/>
    <w:rsid w:val="00656548"/>
    <w:rsid w:val="006566D4"/>
    <w:rsid w:val="0065683F"/>
    <w:rsid w:val="0065693A"/>
    <w:rsid w:val="00656A81"/>
    <w:rsid w:val="00656B47"/>
    <w:rsid w:val="00657665"/>
    <w:rsid w:val="006576FB"/>
    <w:rsid w:val="00657831"/>
    <w:rsid w:val="0065788D"/>
    <w:rsid w:val="0065797A"/>
    <w:rsid w:val="00657998"/>
    <w:rsid w:val="00657AEF"/>
    <w:rsid w:val="00657BA1"/>
    <w:rsid w:val="00657D76"/>
    <w:rsid w:val="00657EAF"/>
    <w:rsid w:val="00657F6B"/>
    <w:rsid w:val="006604B2"/>
    <w:rsid w:val="00660A48"/>
    <w:rsid w:val="00660ADD"/>
    <w:rsid w:val="00660CE2"/>
    <w:rsid w:val="00660D49"/>
    <w:rsid w:val="00660DE8"/>
    <w:rsid w:val="00660EC1"/>
    <w:rsid w:val="0066107A"/>
    <w:rsid w:val="0066108D"/>
    <w:rsid w:val="0066129F"/>
    <w:rsid w:val="006613F4"/>
    <w:rsid w:val="00661460"/>
    <w:rsid w:val="00661BDF"/>
    <w:rsid w:val="00661C3A"/>
    <w:rsid w:val="00661E6B"/>
    <w:rsid w:val="00661F2A"/>
    <w:rsid w:val="00662085"/>
    <w:rsid w:val="006620A6"/>
    <w:rsid w:val="00662134"/>
    <w:rsid w:val="006621D1"/>
    <w:rsid w:val="00662264"/>
    <w:rsid w:val="006623DA"/>
    <w:rsid w:val="006626E5"/>
    <w:rsid w:val="00663220"/>
    <w:rsid w:val="006633B6"/>
    <w:rsid w:val="00663A4E"/>
    <w:rsid w:val="00663A9E"/>
    <w:rsid w:val="00663AFD"/>
    <w:rsid w:val="00663B8C"/>
    <w:rsid w:val="00663D0F"/>
    <w:rsid w:val="00663EDC"/>
    <w:rsid w:val="00664193"/>
    <w:rsid w:val="00664377"/>
    <w:rsid w:val="00664558"/>
    <w:rsid w:val="00664615"/>
    <w:rsid w:val="0066466F"/>
    <w:rsid w:val="0066487D"/>
    <w:rsid w:val="006649CE"/>
    <w:rsid w:val="00664FC4"/>
    <w:rsid w:val="006652D3"/>
    <w:rsid w:val="00665492"/>
    <w:rsid w:val="00665689"/>
    <w:rsid w:val="0066592E"/>
    <w:rsid w:val="00665A43"/>
    <w:rsid w:val="00665A65"/>
    <w:rsid w:val="00665C11"/>
    <w:rsid w:val="00665D35"/>
    <w:rsid w:val="00665D3C"/>
    <w:rsid w:val="00665F14"/>
    <w:rsid w:val="00666190"/>
    <w:rsid w:val="00666387"/>
    <w:rsid w:val="006663A2"/>
    <w:rsid w:val="00666759"/>
    <w:rsid w:val="006669D5"/>
    <w:rsid w:val="00666C89"/>
    <w:rsid w:val="0066701E"/>
    <w:rsid w:val="006670C0"/>
    <w:rsid w:val="00667190"/>
    <w:rsid w:val="006671CD"/>
    <w:rsid w:val="006671FE"/>
    <w:rsid w:val="00667251"/>
    <w:rsid w:val="006672B1"/>
    <w:rsid w:val="00667399"/>
    <w:rsid w:val="00667565"/>
    <w:rsid w:val="006679B9"/>
    <w:rsid w:val="00667B7D"/>
    <w:rsid w:val="00667BBE"/>
    <w:rsid w:val="00667C88"/>
    <w:rsid w:val="00667F45"/>
    <w:rsid w:val="00667F64"/>
    <w:rsid w:val="00670250"/>
    <w:rsid w:val="006704A8"/>
    <w:rsid w:val="006708A4"/>
    <w:rsid w:val="00670C34"/>
    <w:rsid w:val="00670CB6"/>
    <w:rsid w:val="00670D9E"/>
    <w:rsid w:val="00670F35"/>
    <w:rsid w:val="00671034"/>
    <w:rsid w:val="006711A2"/>
    <w:rsid w:val="0067132B"/>
    <w:rsid w:val="006714B6"/>
    <w:rsid w:val="00671834"/>
    <w:rsid w:val="00671DA7"/>
    <w:rsid w:val="00672105"/>
    <w:rsid w:val="00672199"/>
    <w:rsid w:val="006722CC"/>
    <w:rsid w:val="006723B6"/>
    <w:rsid w:val="006723D0"/>
    <w:rsid w:val="00672467"/>
    <w:rsid w:val="00672667"/>
    <w:rsid w:val="006729C1"/>
    <w:rsid w:val="00672C2C"/>
    <w:rsid w:val="00672DFE"/>
    <w:rsid w:val="006731B1"/>
    <w:rsid w:val="0067322D"/>
    <w:rsid w:val="006734AE"/>
    <w:rsid w:val="00673588"/>
    <w:rsid w:val="006735A8"/>
    <w:rsid w:val="00673678"/>
    <w:rsid w:val="00673957"/>
    <w:rsid w:val="00673966"/>
    <w:rsid w:val="00673973"/>
    <w:rsid w:val="006739A2"/>
    <w:rsid w:val="00673BED"/>
    <w:rsid w:val="0067431B"/>
    <w:rsid w:val="0067433F"/>
    <w:rsid w:val="006745BC"/>
    <w:rsid w:val="006745E5"/>
    <w:rsid w:val="0067468B"/>
    <w:rsid w:val="00674B04"/>
    <w:rsid w:val="00674B27"/>
    <w:rsid w:val="00674B42"/>
    <w:rsid w:val="00674D73"/>
    <w:rsid w:val="00675016"/>
    <w:rsid w:val="00675414"/>
    <w:rsid w:val="0067548B"/>
    <w:rsid w:val="00675494"/>
    <w:rsid w:val="006757EA"/>
    <w:rsid w:val="00675902"/>
    <w:rsid w:val="00675C5A"/>
    <w:rsid w:val="00675E39"/>
    <w:rsid w:val="00676030"/>
    <w:rsid w:val="00676107"/>
    <w:rsid w:val="00676301"/>
    <w:rsid w:val="00676488"/>
    <w:rsid w:val="0067667A"/>
    <w:rsid w:val="00676B5A"/>
    <w:rsid w:val="00676BC0"/>
    <w:rsid w:val="00676C5B"/>
    <w:rsid w:val="00676D17"/>
    <w:rsid w:val="0067739C"/>
    <w:rsid w:val="00677433"/>
    <w:rsid w:val="0067746E"/>
    <w:rsid w:val="006775B8"/>
    <w:rsid w:val="006775E6"/>
    <w:rsid w:val="006777D6"/>
    <w:rsid w:val="0067792C"/>
    <w:rsid w:val="00677962"/>
    <w:rsid w:val="00677D6A"/>
    <w:rsid w:val="00680106"/>
    <w:rsid w:val="0068050D"/>
    <w:rsid w:val="0068082F"/>
    <w:rsid w:val="00680A25"/>
    <w:rsid w:val="00680A46"/>
    <w:rsid w:val="00680B39"/>
    <w:rsid w:val="00680BF8"/>
    <w:rsid w:val="00680DA2"/>
    <w:rsid w:val="00680DE4"/>
    <w:rsid w:val="00680EE0"/>
    <w:rsid w:val="00680EFA"/>
    <w:rsid w:val="00680F40"/>
    <w:rsid w:val="0068102A"/>
    <w:rsid w:val="00681185"/>
    <w:rsid w:val="00681258"/>
    <w:rsid w:val="0068125D"/>
    <w:rsid w:val="00681773"/>
    <w:rsid w:val="006817B0"/>
    <w:rsid w:val="0068189C"/>
    <w:rsid w:val="00681B83"/>
    <w:rsid w:val="00681BD8"/>
    <w:rsid w:val="00681CB8"/>
    <w:rsid w:val="00681E82"/>
    <w:rsid w:val="00681EBB"/>
    <w:rsid w:val="00681EC1"/>
    <w:rsid w:val="00681EE1"/>
    <w:rsid w:val="0068207E"/>
    <w:rsid w:val="0068225F"/>
    <w:rsid w:val="00682306"/>
    <w:rsid w:val="0068237A"/>
    <w:rsid w:val="0068243C"/>
    <w:rsid w:val="006824C5"/>
    <w:rsid w:val="00682D3A"/>
    <w:rsid w:val="00682DB5"/>
    <w:rsid w:val="00682DB9"/>
    <w:rsid w:val="00682E80"/>
    <w:rsid w:val="006830A0"/>
    <w:rsid w:val="006832FE"/>
    <w:rsid w:val="0068340D"/>
    <w:rsid w:val="00683459"/>
    <w:rsid w:val="006835B0"/>
    <w:rsid w:val="006835E2"/>
    <w:rsid w:val="00683653"/>
    <w:rsid w:val="00683CF2"/>
    <w:rsid w:val="00683D7A"/>
    <w:rsid w:val="00683F38"/>
    <w:rsid w:val="00684255"/>
    <w:rsid w:val="00684534"/>
    <w:rsid w:val="0068468D"/>
    <w:rsid w:val="006847D4"/>
    <w:rsid w:val="00684800"/>
    <w:rsid w:val="00684866"/>
    <w:rsid w:val="00684B88"/>
    <w:rsid w:val="00684ECA"/>
    <w:rsid w:val="00684EDC"/>
    <w:rsid w:val="00684FDB"/>
    <w:rsid w:val="0068506B"/>
    <w:rsid w:val="00685130"/>
    <w:rsid w:val="0068520D"/>
    <w:rsid w:val="0068544D"/>
    <w:rsid w:val="006856DE"/>
    <w:rsid w:val="00685DD2"/>
    <w:rsid w:val="00685E90"/>
    <w:rsid w:val="00685ECC"/>
    <w:rsid w:val="0068606F"/>
    <w:rsid w:val="006861E7"/>
    <w:rsid w:val="00686226"/>
    <w:rsid w:val="006867F6"/>
    <w:rsid w:val="00686C03"/>
    <w:rsid w:val="00686C48"/>
    <w:rsid w:val="00686E55"/>
    <w:rsid w:val="006870A6"/>
    <w:rsid w:val="006872A2"/>
    <w:rsid w:val="006873CE"/>
    <w:rsid w:val="00687440"/>
    <w:rsid w:val="006875E5"/>
    <w:rsid w:val="006876AC"/>
    <w:rsid w:val="0068798E"/>
    <w:rsid w:val="00687C79"/>
    <w:rsid w:val="00687CFD"/>
    <w:rsid w:val="00687FDC"/>
    <w:rsid w:val="0069009A"/>
    <w:rsid w:val="006903BE"/>
    <w:rsid w:val="00690618"/>
    <w:rsid w:val="006907AE"/>
    <w:rsid w:val="006908C7"/>
    <w:rsid w:val="00690A98"/>
    <w:rsid w:val="00690B41"/>
    <w:rsid w:val="00690C0D"/>
    <w:rsid w:val="00690DB7"/>
    <w:rsid w:val="00690E35"/>
    <w:rsid w:val="00691600"/>
    <w:rsid w:val="00691605"/>
    <w:rsid w:val="006916B5"/>
    <w:rsid w:val="00691732"/>
    <w:rsid w:val="0069189D"/>
    <w:rsid w:val="006918A8"/>
    <w:rsid w:val="00691DE2"/>
    <w:rsid w:val="0069200C"/>
    <w:rsid w:val="006922E0"/>
    <w:rsid w:val="00692A3B"/>
    <w:rsid w:val="00692C84"/>
    <w:rsid w:val="00692D24"/>
    <w:rsid w:val="00692DE4"/>
    <w:rsid w:val="00692E3A"/>
    <w:rsid w:val="00693085"/>
    <w:rsid w:val="0069329A"/>
    <w:rsid w:val="00693425"/>
    <w:rsid w:val="006936FD"/>
    <w:rsid w:val="00693923"/>
    <w:rsid w:val="006939F5"/>
    <w:rsid w:val="00693D58"/>
    <w:rsid w:val="00694272"/>
    <w:rsid w:val="006942B0"/>
    <w:rsid w:val="006942CC"/>
    <w:rsid w:val="006942DC"/>
    <w:rsid w:val="00694C80"/>
    <w:rsid w:val="00694C8E"/>
    <w:rsid w:val="006954A0"/>
    <w:rsid w:val="0069573F"/>
    <w:rsid w:val="006958F9"/>
    <w:rsid w:val="00695917"/>
    <w:rsid w:val="00695920"/>
    <w:rsid w:val="00695C44"/>
    <w:rsid w:val="00695D35"/>
    <w:rsid w:val="00695EA6"/>
    <w:rsid w:val="0069601D"/>
    <w:rsid w:val="006963B6"/>
    <w:rsid w:val="0069692A"/>
    <w:rsid w:val="00696C13"/>
    <w:rsid w:val="00696D3C"/>
    <w:rsid w:val="00696F5C"/>
    <w:rsid w:val="0069731C"/>
    <w:rsid w:val="006974E5"/>
    <w:rsid w:val="0069770C"/>
    <w:rsid w:val="00697B14"/>
    <w:rsid w:val="00697B91"/>
    <w:rsid w:val="00697C4E"/>
    <w:rsid w:val="00697CC7"/>
    <w:rsid w:val="00697E02"/>
    <w:rsid w:val="006A0331"/>
    <w:rsid w:val="006A03C6"/>
    <w:rsid w:val="006A0547"/>
    <w:rsid w:val="006A06E6"/>
    <w:rsid w:val="006A0717"/>
    <w:rsid w:val="006A0974"/>
    <w:rsid w:val="006A0BDF"/>
    <w:rsid w:val="006A0DF2"/>
    <w:rsid w:val="006A0F38"/>
    <w:rsid w:val="006A15CA"/>
    <w:rsid w:val="006A1904"/>
    <w:rsid w:val="006A1B38"/>
    <w:rsid w:val="006A1F1D"/>
    <w:rsid w:val="006A2099"/>
    <w:rsid w:val="006A2222"/>
    <w:rsid w:val="006A26D9"/>
    <w:rsid w:val="006A2C5C"/>
    <w:rsid w:val="006A2D22"/>
    <w:rsid w:val="006A2D3A"/>
    <w:rsid w:val="006A2DB4"/>
    <w:rsid w:val="006A2ED5"/>
    <w:rsid w:val="006A3408"/>
    <w:rsid w:val="006A344A"/>
    <w:rsid w:val="006A355F"/>
    <w:rsid w:val="006A35A7"/>
    <w:rsid w:val="006A3649"/>
    <w:rsid w:val="006A3670"/>
    <w:rsid w:val="006A39A3"/>
    <w:rsid w:val="006A408A"/>
    <w:rsid w:val="006A4257"/>
    <w:rsid w:val="006A42E2"/>
    <w:rsid w:val="006A43CC"/>
    <w:rsid w:val="006A4490"/>
    <w:rsid w:val="006A44EB"/>
    <w:rsid w:val="006A4891"/>
    <w:rsid w:val="006A4A80"/>
    <w:rsid w:val="006A4E08"/>
    <w:rsid w:val="006A4EBA"/>
    <w:rsid w:val="006A4F69"/>
    <w:rsid w:val="006A4F79"/>
    <w:rsid w:val="006A501D"/>
    <w:rsid w:val="006A519C"/>
    <w:rsid w:val="006A5526"/>
    <w:rsid w:val="006A56FC"/>
    <w:rsid w:val="006A5A5C"/>
    <w:rsid w:val="006A5B96"/>
    <w:rsid w:val="006A5B98"/>
    <w:rsid w:val="006A5C48"/>
    <w:rsid w:val="006A5CBB"/>
    <w:rsid w:val="006A5F68"/>
    <w:rsid w:val="006A6349"/>
    <w:rsid w:val="006A6449"/>
    <w:rsid w:val="006A6777"/>
    <w:rsid w:val="006A67C6"/>
    <w:rsid w:val="006A685B"/>
    <w:rsid w:val="006A6D74"/>
    <w:rsid w:val="006A6F2A"/>
    <w:rsid w:val="006A6F75"/>
    <w:rsid w:val="006A6FB7"/>
    <w:rsid w:val="006A729E"/>
    <w:rsid w:val="006A7331"/>
    <w:rsid w:val="006A7350"/>
    <w:rsid w:val="006A7416"/>
    <w:rsid w:val="006A76BF"/>
    <w:rsid w:val="006A7973"/>
    <w:rsid w:val="006B01A0"/>
    <w:rsid w:val="006B045F"/>
    <w:rsid w:val="006B04F6"/>
    <w:rsid w:val="006B0570"/>
    <w:rsid w:val="006B06D8"/>
    <w:rsid w:val="006B0703"/>
    <w:rsid w:val="006B071A"/>
    <w:rsid w:val="006B0751"/>
    <w:rsid w:val="006B07C3"/>
    <w:rsid w:val="006B07D0"/>
    <w:rsid w:val="006B0800"/>
    <w:rsid w:val="006B08E2"/>
    <w:rsid w:val="006B0980"/>
    <w:rsid w:val="006B0B18"/>
    <w:rsid w:val="006B0C23"/>
    <w:rsid w:val="006B0D44"/>
    <w:rsid w:val="006B0EA6"/>
    <w:rsid w:val="006B0EBC"/>
    <w:rsid w:val="006B1061"/>
    <w:rsid w:val="006B110B"/>
    <w:rsid w:val="006B1192"/>
    <w:rsid w:val="006B13BC"/>
    <w:rsid w:val="006B15D0"/>
    <w:rsid w:val="006B17FD"/>
    <w:rsid w:val="006B1916"/>
    <w:rsid w:val="006B1B55"/>
    <w:rsid w:val="006B1BA3"/>
    <w:rsid w:val="006B1D45"/>
    <w:rsid w:val="006B1DAC"/>
    <w:rsid w:val="006B1E69"/>
    <w:rsid w:val="006B1EC9"/>
    <w:rsid w:val="006B1F08"/>
    <w:rsid w:val="006B1F60"/>
    <w:rsid w:val="006B2077"/>
    <w:rsid w:val="006B2227"/>
    <w:rsid w:val="006B2276"/>
    <w:rsid w:val="006B22E1"/>
    <w:rsid w:val="006B2384"/>
    <w:rsid w:val="006B2774"/>
    <w:rsid w:val="006B2D0D"/>
    <w:rsid w:val="006B2E10"/>
    <w:rsid w:val="006B30EB"/>
    <w:rsid w:val="006B3226"/>
    <w:rsid w:val="006B32B9"/>
    <w:rsid w:val="006B33EA"/>
    <w:rsid w:val="006B3761"/>
    <w:rsid w:val="006B386F"/>
    <w:rsid w:val="006B3991"/>
    <w:rsid w:val="006B3BA1"/>
    <w:rsid w:val="006B3C00"/>
    <w:rsid w:val="006B3FBF"/>
    <w:rsid w:val="006B4041"/>
    <w:rsid w:val="006B40E6"/>
    <w:rsid w:val="006B41ED"/>
    <w:rsid w:val="006B42F6"/>
    <w:rsid w:val="006B4333"/>
    <w:rsid w:val="006B43AE"/>
    <w:rsid w:val="006B43ED"/>
    <w:rsid w:val="006B446D"/>
    <w:rsid w:val="006B4519"/>
    <w:rsid w:val="006B4975"/>
    <w:rsid w:val="006B4B3B"/>
    <w:rsid w:val="006B50D3"/>
    <w:rsid w:val="006B5172"/>
    <w:rsid w:val="006B52F7"/>
    <w:rsid w:val="006B58A5"/>
    <w:rsid w:val="006B5A50"/>
    <w:rsid w:val="006B5C67"/>
    <w:rsid w:val="006B600D"/>
    <w:rsid w:val="006B614B"/>
    <w:rsid w:val="006B6310"/>
    <w:rsid w:val="006B6333"/>
    <w:rsid w:val="006B657B"/>
    <w:rsid w:val="006B6671"/>
    <w:rsid w:val="006B6B52"/>
    <w:rsid w:val="006B6C6E"/>
    <w:rsid w:val="006B6E81"/>
    <w:rsid w:val="006B6EDF"/>
    <w:rsid w:val="006B6F95"/>
    <w:rsid w:val="006B70F4"/>
    <w:rsid w:val="006B7206"/>
    <w:rsid w:val="006B72AB"/>
    <w:rsid w:val="006B739F"/>
    <w:rsid w:val="006B76A8"/>
    <w:rsid w:val="006B7754"/>
    <w:rsid w:val="006B7794"/>
    <w:rsid w:val="006B779D"/>
    <w:rsid w:val="006B7B51"/>
    <w:rsid w:val="006B7BEC"/>
    <w:rsid w:val="006B7F9C"/>
    <w:rsid w:val="006B7FA8"/>
    <w:rsid w:val="006C0176"/>
    <w:rsid w:val="006C022D"/>
    <w:rsid w:val="006C0471"/>
    <w:rsid w:val="006C0690"/>
    <w:rsid w:val="006C06F6"/>
    <w:rsid w:val="006C0A2E"/>
    <w:rsid w:val="006C0DA8"/>
    <w:rsid w:val="006C0F34"/>
    <w:rsid w:val="006C1018"/>
    <w:rsid w:val="006C1345"/>
    <w:rsid w:val="006C17EE"/>
    <w:rsid w:val="006C1D52"/>
    <w:rsid w:val="006C1E95"/>
    <w:rsid w:val="006C1FD7"/>
    <w:rsid w:val="006C22B0"/>
    <w:rsid w:val="006C2785"/>
    <w:rsid w:val="006C2868"/>
    <w:rsid w:val="006C297A"/>
    <w:rsid w:val="006C2BF8"/>
    <w:rsid w:val="006C2D24"/>
    <w:rsid w:val="006C2D43"/>
    <w:rsid w:val="006C2E89"/>
    <w:rsid w:val="006C3108"/>
    <w:rsid w:val="006C31A0"/>
    <w:rsid w:val="006C3311"/>
    <w:rsid w:val="006C360F"/>
    <w:rsid w:val="006C3697"/>
    <w:rsid w:val="006C37E0"/>
    <w:rsid w:val="006C3995"/>
    <w:rsid w:val="006C39BD"/>
    <w:rsid w:val="006C3BA4"/>
    <w:rsid w:val="006C3F1F"/>
    <w:rsid w:val="006C3FB8"/>
    <w:rsid w:val="006C4055"/>
    <w:rsid w:val="006C40A5"/>
    <w:rsid w:val="006C4626"/>
    <w:rsid w:val="006C4904"/>
    <w:rsid w:val="006C4B29"/>
    <w:rsid w:val="006C4C01"/>
    <w:rsid w:val="006C4E61"/>
    <w:rsid w:val="006C4F4A"/>
    <w:rsid w:val="006C5188"/>
    <w:rsid w:val="006C5360"/>
    <w:rsid w:val="006C539B"/>
    <w:rsid w:val="006C5413"/>
    <w:rsid w:val="006C5603"/>
    <w:rsid w:val="006C5982"/>
    <w:rsid w:val="006C5989"/>
    <w:rsid w:val="006C5ED2"/>
    <w:rsid w:val="006C6048"/>
    <w:rsid w:val="006C60B1"/>
    <w:rsid w:val="006C6198"/>
    <w:rsid w:val="006C6574"/>
    <w:rsid w:val="006C6678"/>
    <w:rsid w:val="006C68DF"/>
    <w:rsid w:val="006C69B2"/>
    <w:rsid w:val="006C69EE"/>
    <w:rsid w:val="006C6AD5"/>
    <w:rsid w:val="006C6B1E"/>
    <w:rsid w:val="006C6C32"/>
    <w:rsid w:val="006C6E16"/>
    <w:rsid w:val="006C705E"/>
    <w:rsid w:val="006C717F"/>
    <w:rsid w:val="006C732E"/>
    <w:rsid w:val="006C73DA"/>
    <w:rsid w:val="006C76AD"/>
    <w:rsid w:val="006C799A"/>
    <w:rsid w:val="006C79A7"/>
    <w:rsid w:val="006C7B10"/>
    <w:rsid w:val="006C7FE6"/>
    <w:rsid w:val="006D01EE"/>
    <w:rsid w:val="006D02E4"/>
    <w:rsid w:val="006D039E"/>
    <w:rsid w:val="006D03A7"/>
    <w:rsid w:val="006D03CD"/>
    <w:rsid w:val="006D056A"/>
    <w:rsid w:val="006D0675"/>
    <w:rsid w:val="006D0878"/>
    <w:rsid w:val="006D0969"/>
    <w:rsid w:val="006D09AB"/>
    <w:rsid w:val="006D0A5E"/>
    <w:rsid w:val="006D0A68"/>
    <w:rsid w:val="006D0DA8"/>
    <w:rsid w:val="006D0F23"/>
    <w:rsid w:val="006D1050"/>
    <w:rsid w:val="006D1179"/>
    <w:rsid w:val="006D12B1"/>
    <w:rsid w:val="006D148E"/>
    <w:rsid w:val="006D152D"/>
    <w:rsid w:val="006D173A"/>
    <w:rsid w:val="006D1BB4"/>
    <w:rsid w:val="006D1EC0"/>
    <w:rsid w:val="006D1F0A"/>
    <w:rsid w:val="006D2306"/>
    <w:rsid w:val="006D2467"/>
    <w:rsid w:val="006D2578"/>
    <w:rsid w:val="006D25FB"/>
    <w:rsid w:val="006D2602"/>
    <w:rsid w:val="006D2BBA"/>
    <w:rsid w:val="006D2C12"/>
    <w:rsid w:val="006D2CFF"/>
    <w:rsid w:val="006D2EE6"/>
    <w:rsid w:val="006D2FFE"/>
    <w:rsid w:val="006D3502"/>
    <w:rsid w:val="006D3513"/>
    <w:rsid w:val="006D357F"/>
    <w:rsid w:val="006D3625"/>
    <w:rsid w:val="006D3671"/>
    <w:rsid w:val="006D36B7"/>
    <w:rsid w:val="006D3783"/>
    <w:rsid w:val="006D3AD6"/>
    <w:rsid w:val="006D3C69"/>
    <w:rsid w:val="006D3F24"/>
    <w:rsid w:val="006D4099"/>
    <w:rsid w:val="006D4108"/>
    <w:rsid w:val="006D4383"/>
    <w:rsid w:val="006D4587"/>
    <w:rsid w:val="006D4612"/>
    <w:rsid w:val="006D4618"/>
    <w:rsid w:val="006D488C"/>
    <w:rsid w:val="006D4935"/>
    <w:rsid w:val="006D4A07"/>
    <w:rsid w:val="006D4B3D"/>
    <w:rsid w:val="006D4C4D"/>
    <w:rsid w:val="006D4CD9"/>
    <w:rsid w:val="006D4E79"/>
    <w:rsid w:val="006D4E85"/>
    <w:rsid w:val="006D4FF8"/>
    <w:rsid w:val="006D50FF"/>
    <w:rsid w:val="006D5307"/>
    <w:rsid w:val="006D54BF"/>
    <w:rsid w:val="006D5699"/>
    <w:rsid w:val="006D56F6"/>
    <w:rsid w:val="006D5A09"/>
    <w:rsid w:val="006D5DF3"/>
    <w:rsid w:val="006D5EAA"/>
    <w:rsid w:val="006D5EBA"/>
    <w:rsid w:val="006D62F7"/>
    <w:rsid w:val="006D6477"/>
    <w:rsid w:val="006D652A"/>
    <w:rsid w:val="006D6568"/>
    <w:rsid w:val="006D65C0"/>
    <w:rsid w:val="006D6709"/>
    <w:rsid w:val="006D6D2E"/>
    <w:rsid w:val="006D6DBA"/>
    <w:rsid w:val="006D6E5A"/>
    <w:rsid w:val="006D742C"/>
    <w:rsid w:val="006D74C8"/>
    <w:rsid w:val="006D753D"/>
    <w:rsid w:val="006D78DC"/>
    <w:rsid w:val="006D7A6F"/>
    <w:rsid w:val="006D7DED"/>
    <w:rsid w:val="006D7E0D"/>
    <w:rsid w:val="006D7E30"/>
    <w:rsid w:val="006D7FA4"/>
    <w:rsid w:val="006E00AB"/>
    <w:rsid w:val="006E0121"/>
    <w:rsid w:val="006E0754"/>
    <w:rsid w:val="006E1598"/>
    <w:rsid w:val="006E1647"/>
    <w:rsid w:val="006E19B6"/>
    <w:rsid w:val="006E1CB2"/>
    <w:rsid w:val="006E1FA7"/>
    <w:rsid w:val="006E2183"/>
    <w:rsid w:val="006E21A6"/>
    <w:rsid w:val="006E243E"/>
    <w:rsid w:val="006E2538"/>
    <w:rsid w:val="006E25BF"/>
    <w:rsid w:val="006E2860"/>
    <w:rsid w:val="006E28B5"/>
    <w:rsid w:val="006E336F"/>
    <w:rsid w:val="006E3538"/>
    <w:rsid w:val="006E358F"/>
    <w:rsid w:val="006E374A"/>
    <w:rsid w:val="006E37F3"/>
    <w:rsid w:val="006E3820"/>
    <w:rsid w:val="006E3922"/>
    <w:rsid w:val="006E3AAD"/>
    <w:rsid w:val="006E3C7A"/>
    <w:rsid w:val="006E3DCE"/>
    <w:rsid w:val="006E3DD0"/>
    <w:rsid w:val="006E3DDE"/>
    <w:rsid w:val="006E3FE5"/>
    <w:rsid w:val="006E403C"/>
    <w:rsid w:val="006E43EA"/>
    <w:rsid w:val="006E4453"/>
    <w:rsid w:val="006E497C"/>
    <w:rsid w:val="006E4C74"/>
    <w:rsid w:val="006E4E90"/>
    <w:rsid w:val="006E4FA1"/>
    <w:rsid w:val="006E52FB"/>
    <w:rsid w:val="006E594A"/>
    <w:rsid w:val="006E5B9A"/>
    <w:rsid w:val="006E5DE4"/>
    <w:rsid w:val="006E5F45"/>
    <w:rsid w:val="006E6010"/>
    <w:rsid w:val="006E6162"/>
    <w:rsid w:val="006E621D"/>
    <w:rsid w:val="006E64AC"/>
    <w:rsid w:val="006E6549"/>
    <w:rsid w:val="006E6699"/>
    <w:rsid w:val="006E66E0"/>
    <w:rsid w:val="006E67CC"/>
    <w:rsid w:val="006E6869"/>
    <w:rsid w:val="006E6899"/>
    <w:rsid w:val="006E6A24"/>
    <w:rsid w:val="006E6B2B"/>
    <w:rsid w:val="006E6B5D"/>
    <w:rsid w:val="006E6C37"/>
    <w:rsid w:val="006E6CB3"/>
    <w:rsid w:val="006E6E7A"/>
    <w:rsid w:val="006E7006"/>
    <w:rsid w:val="006E72C5"/>
    <w:rsid w:val="006E73C7"/>
    <w:rsid w:val="006E7495"/>
    <w:rsid w:val="006E74B9"/>
    <w:rsid w:val="006E765A"/>
    <w:rsid w:val="006E76C6"/>
    <w:rsid w:val="006E77B5"/>
    <w:rsid w:val="006E79DE"/>
    <w:rsid w:val="006E7AB7"/>
    <w:rsid w:val="006E7D27"/>
    <w:rsid w:val="006E7E47"/>
    <w:rsid w:val="006F00CB"/>
    <w:rsid w:val="006F00E0"/>
    <w:rsid w:val="006F01F1"/>
    <w:rsid w:val="006F04A3"/>
    <w:rsid w:val="006F05C6"/>
    <w:rsid w:val="006F0C03"/>
    <w:rsid w:val="006F0D94"/>
    <w:rsid w:val="006F0E76"/>
    <w:rsid w:val="006F100D"/>
    <w:rsid w:val="006F11E4"/>
    <w:rsid w:val="006F159D"/>
    <w:rsid w:val="006F1604"/>
    <w:rsid w:val="006F1934"/>
    <w:rsid w:val="006F1B33"/>
    <w:rsid w:val="006F1DFB"/>
    <w:rsid w:val="006F2589"/>
    <w:rsid w:val="006F2756"/>
    <w:rsid w:val="006F279B"/>
    <w:rsid w:val="006F29EA"/>
    <w:rsid w:val="006F2A2B"/>
    <w:rsid w:val="006F2A3B"/>
    <w:rsid w:val="006F2D9A"/>
    <w:rsid w:val="006F2DFE"/>
    <w:rsid w:val="006F302D"/>
    <w:rsid w:val="006F3184"/>
    <w:rsid w:val="006F32CF"/>
    <w:rsid w:val="006F3486"/>
    <w:rsid w:val="006F3A7E"/>
    <w:rsid w:val="006F3B29"/>
    <w:rsid w:val="006F3DC5"/>
    <w:rsid w:val="006F43DE"/>
    <w:rsid w:val="006F490F"/>
    <w:rsid w:val="006F4D1C"/>
    <w:rsid w:val="006F4DC5"/>
    <w:rsid w:val="006F4E2E"/>
    <w:rsid w:val="006F5325"/>
    <w:rsid w:val="006F5395"/>
    <w:rsid w:val="006F5455"/>
    <w:rsid w:val="006F5476"/>
    <w:rsid w:val="006F5487"/>
    <w:rsid w:val="006F549F"/>
    <w:rsid w:val="006F565B"/>
    <w:rsid w:val="006F5723"/>
    <w:rsid w:val="006F5B94"/>
    <w:rsid w:val="006F5C1D"/>
    <w:rsid w:val="006F6366"/>
    <w:rsid w:val="006F63B2"/>
    <w:rsid w:val="006F649F"/>
    <w:rsid w:val="006F655F"/>
    <w:rsid w:val="006F663F"/>
    <w:rsid w:val="006F69ED"/>
    <w:rsid w:val="006F6C91"/>
    <w:rsid w:val="006F722F"/>
    <w:rsid w:val="006F72CB"/>
    <w:rsid w:val="006F73E7"/>
    <w:rsid w:val="006F7612"/>
    <w:rsid w:val="006F76A2"/>
    <w:rsid w:val="006F76DD"/>
    <w:rsid w:val="006F775A"/>
    <w:rsid w:val="006F777F"/>
    <w:rsid w:val="006F7895"/>
    <w:rsid w:val="0070001C"/>
    <w:rsid w:val="00700292"/>
    <w:rsid w:val="007002EB"/>
    <w:rsid w:val="007004D0"/>
    <w:rsid w:val="00700539"/>
    <w:rsid w:val="0070076E"/>
    <w:rsid w:val="007009D4"/>
    <w:rsid w:val="00700A39"/>
    <w:rsid w:val="00700BE4"/>
    <w:rsid w:val="00700DA4"/>
    <w:rsid w:val="00700E2D"/>
    <w:rsid w:val="00701257"/>
    <w:rsid w:val="007016CF"/>
    <w:rsid w:val="00701735"/>
    <w:rsid w:val="0070193D"/>
    <w:rsid w:val="0070196F"/>
    <w:rsid w:val="00701BF7"/>
    <w:rsid w:val="00701C1C"/>
    <w:rsid w:val="00701EE3"/>
    <w:rsid w:val="00701F98"/>
    <w:rsid w:val="007020A6"/>
    <w:rsid w:val="007020F8"/>
    <w:rsid w:val="0070213D"/>
    <w:rsid w:val="0070250C"/>
    <w:rsid w:val="00702681"/>
    <w:rsid w:val="00702754"/>
    <w:rsid w:val="00702C4E"/>
    <w:rsid w:val="00703093"/>
    <w:rsid w:val="0070353E"/>
    <w:rsid w:val="007038B4"/>
    <w:rsid w:val="007038E0"/>
    <w:rsid w:val="00703A52"/>
    <w:rsid w:val="00703BC7"/>
    <w:rsid w:val="00703C67"/>
    <w:rsid w:val="00703D76"/>
    <w:rsid w:val="00703ED8"/>
    <w:rsid w:val="00703FA1"/>
    <w:rsid w:val="00704086"/>
    <w:rsid w:val="007040D4"/>
    <w:rsid w:val="0070425A"/>
    <w:rsid w:val="007042AB"/>
    <w:rsid w:val="007046AF"/>
    <w:rsid w:val="007048E6"/>
    <w:rsid w:val="00704E3E"/>
    <w:rsid w:val="007052D8"/>
    <w:rsid w:val="007053CC"/>
    <w:rsid w:val="0070560C"/>
    <w:rsid w:val="00705972"/>
    <w:rsid w:val="00705E57"/>
    <w:rsid w:val="00705F8E"/>
    <w:rsid w:val="00705FBF"/>
    <w:rsid w:val="00706577"/>
    <w:rsid w:val="007067E8"/>
    <w:rsid w:val="00706839"/>
    <w:rsid w:val="00706AAA"/>
    <w:rsid w:val="00706C99"/>
    <w:rsid w:val="00706D19"/>
    <w:rsid w:val="00706D9E"/>
    <w:rsid w:val="00707062"/>
    <w:rsid w:val="00707133"/>
    <w:rsid w:val="0070722B"/>
    <w:rsid w:val="007072FC"/>
    <w:rsid w:val="00707532"/>
    <w:rsid w:val="00707745"/>
    <w:rsid w:val="007077A8"/>
    <w:rsid w:val="0070793B"/>
    <w:rsid w:val="00707AFA"/>
    <w:rsid w:val="00707B2F"/>
    <w:rsid w:val="00707C89"/>
    <w:rsid w:val="007100AB"/>
    <w:rsid w:val="007100CE"/>
    <w:rsid w:val="007100D4"/>
    <w:rsid w:val="00710239"/>
    <w:rsid w:val="007102CC"/>
    <w:rsid w:val="0071070A"/>
    <w:rsid w:val="0071073B"/>
    <w:rsid w:val="00710792"/>
    <w:rsid w:val="0071082B"/>
    <w:rsid w:val="00710913"/>
    <w:rsid w:val="00710998"/>
    <w:rsid w:val="00710B0A"/>
    <w:rsid w:val="00710DEE"/>
    <w:rsid w:val="00710F20"/>
    <w:rsid w:val="00710F4F"/>
    <w:rsid w:val="00710FEC"/>
    <w:rsid w:val="00711372"/>
    <w:rsid w:val="0071189C"/>
    <w:rsid w:val="0071195E"/>
    <w:rsid w:val="0071198D"/>
    <w:rsid w:val="00711BA5"/>
    <w:rsid w:val="00711D0F"/>
    <w:rsid w:val="00711DCF"/>
    <w:rsid w:val="0071212E"/>
    <w:rsid w:val="007122CE"/>
    <w:rsid w:val="0071232E"/>
    <w:rsid w:val="007124AE"/>
    <w:rsid w:val="00712543"/>
    <w:rsid w:val="00712611"/>
    <w:rsid w:val="007126C2"/>
    <w:rsid w:val="00712A9E"/>
    <w:rsid w:val="00712B80"/>
    <w:rsid w:val="00712D94"/>
    <w:rsid w:val="00712DCB"/>
    <w:rsid w:val="00712EB3"/>
    <w:rsid w:val="00712ECC"/>
    <w:rsid w:val="007131BE"/>
    <w:rsid w:val="00713217"/>
    <w:rsid w:val="007138A8"/>
    <w:rsid w:val="0071391F"/>
    <w:rsid w:val="007139C4"/>
    <w:rsid w:val="00713A3B"/>
    <w:rsid w:val="00713C48"/>
    <w:rsid w:val="00713CA3"/>
    <w:rsid w:val="00713CF5"/>
    <w:rsid w:val="00713EC8"/>
    <w:rsid w:val="00713F0D"/>
    <w:rsid w:val="007143EC"/>
    <w:rsid w:val="007145C1"/>
    <w:rsid w:val="0071474D"/>
    <w:rsid w:val="0071482C"/>
    <w:rsid w:val="00714909"/>
    <w:rsid w:val="00714A1D"/>
    <w:rsid w:val="00714A71"/>
    <w:rsid w:val="00714B46"/>
    <w:rsid w:val="00714CDD"/>
    <w:rsid w:val="007151CF"/>
    <w:rsid w:val="007153F1"/>
    <w:rsid w:val="007156EF"/>
    <w:rsid w:val="00715C5E"/>
    <w:rsid w:val="00715EA4"/>
    <w:rsid w:val="00715EFF"/>
    <w:rsid w:val="00715F5E"/>
    <w:rsid w:val="007161EC"/>
    <w:rsid w:val="00716364"/>
    <w:rsid w:val="00716C6D"/>
    <w:rsid w:val="00716EC8"/>
    <w:rsid w:val="0071707B"/>
    <w:rsid w:val="007174DE"/>
    <w:rsid w:val="0071771C"/>
    <w:rsid w:val="0071787D"/>
    <w:rsid w:val="007178B0"/>
    <w:rsid w:val="0071799F"/>
    <w:rsid w:val="00717B21"/>
    <w:rsid w:val="00717C08"/>
    <w:rsid w:val="00717C65"/>
    <w:rsid w:val="00717CCA"/>
    <w:rsid w:val="00717DD0"/>
    <w:rsid w:val="00717F8F"/>
    <w:rsid w:val="00717FB0"/>
    <w:rsid w:val="0072017C"/>
    <w:rsid w:val="007201B4"/>
    <w:rsid w:val="007202C6"/>
    <w:rsid w:val="0072039B"/>
    <w:rsid w:val="00720588"/>
    <w:rsid w:val="00720A21"/>
    <w:rsid w:val="00720C01"/>
    <w:rsid w:val="00720EF7"/>
    <w:rsid w:val="00720FD0"/>
    <w:rsid w:val="00721379"/>
    <w:rsid w:val="007215DC"/>
    <w:rsid w:val="00721620"/>
    <w:rsid w:val="00721715"/>
    <w:rsid w:val="00721759"/>
    <w:rsid w:val="0072186A"/>
    <w:rsid w:val="0072189F"/>
    <w:rsid w:val="00721A4E"/>
    <w:rsid w:val="0072272F"/>
    <w:rsid w:val="00722932"/>
    <w:rsid w:val="007229B3"/>
    <w:rsid w:val="00722A39"/>
    <w:rsid w:val="00722D12"/>
    <w:rsid w:val="00723080"/>
    <w:rsid w:val="0072374C"/>
    <w:rsid w:val="00723C2B"/>
    <w:rsid w:val="00723C9B"/>
    <w:rsid w:val="00723CA3"/>
    <w:rsid w:val="00723D9A"/>
    <w:rsid w:val="00723F0B"/>
    <w:rsid w:val="007242C1"/>
    <w:rsid w:val="007242E5"/>
    <w:rsid w:val="007244EA"/>
    <w:rsid w:val="007247C8"/>
    <w:rsid w:val="00724814"/>
    <w:rsid w:val="00724BF5"/>
    <w:rsid w:val="00724F78"/>
    <w:rsid w:val="007250B2"/>
    <w:rsid w:val="007250D0"/>
    <w:rsid w:val="0072514C"/>
    <w:rsid w:val="00725285"/>
    <w:rsid w:val="0072532B"/>
    <w:rsid w:val="007256EA"/>
    <w:rsid w:val="00725B12"/>
    <w:rsid w:val="007261AB"/>
    <w:rsid w:val="00726200"/>
    <w:rsid w:val="007262DD"/>
    <w:rsid w:val="00726331"/>
    <w:rsid w:val="00726477"/>
    <w:rsid w:val="0072648F"/>
    <w:rsid w:val="0072685C"/>
    <w:rsid w:val="007268CC"/>
    <w:rsid w:val="00726D78"/>
    <w:rsid w:val="00726EF1"/>
    <w:rsid w:val="0072723C"/>
    <w:rsid w:val="00727425"/>
    <w:rsid w:val="0072771A"/>
    <w:rsid w:val="00727818"/>
    <w:rsid w:val="00727B0C"/>
    <w:rsid w:val="007302D0"/>
    <w:rsid w:val="0073031C"/>
    <w:rsid w:val="007303C4"/>
    <w:rsid w:val="00730694"/>
    <w:rsid w:val="00730981"/>
    <w:rsid w:val="00730A2A"/>
    <w:rsid w:val="00730B7F"/>
    <w:rsid w:val="00730C1F"/>
    <w:rsid w:val="007311D9"/>
    <w:rsid w:val="00731250"/>
    <w:rsid w:val="0073137D"/>
    <w:rsid w:val="00731395"/>
    <w:rsid w:val="0073139C"/>
    <w:rsid w:val="007314AD"/>
    <w:rsid w:val="0073156A"/>
    <w:rsid w:val="0073164D"/>
    <w:rsid w:val="00731830"/>
    <w:rsid w:val="007320EA"/>
    <w:rsid w:val="007321E6"/>
    <w:rsid w:val="0073256F"/>
    <w:rsid w:val="00732742"/>
    <w:rsid w:val="0073282B"/>
    <w:rsid w:val="00732C99"/>
    <w:rsid w:val="00732D8E"/>
    <w:rsid w:val="00732E17"/>
    <w:rsid w:val="00733122"/>
    <w:rsid w:val="00733260"/>
    <w:rsid w:val="0073327E"/>
    <w:rsid w:val="007332CD"/>
    <w:rsid w:val="007333AC"/>
    <w:rsid w:val="00733536"/>
    <w:rsid w:val="00733541"/>
    <w:rsid w:val="00733793"/>
    <w:rsid w:val="007339A0"/>
    <w:rsid w:val="00733BA1"/>
    <w:rsid w:val="00733D31"/>
    <w:rsid w:val="00733D73"/>
    <w:rsid w:val="00733E97"/>
    <w:rsid w:val="007342A9"/>
    <w:rsid w:val="0073479A"/>
    <w:rsid w:val="00734888"/>
    <w:rsid w:val="00734BA2"/>
    <w:rsid w:val="00734E1A"/>
    <w:rsid w:val="007352DC"/>
    <w:rsid w:val="00735360"/>
    <w:rsid w:val="00735855"/>
    <w:rsid w:val="007359FE"/>
    <w:rsid w:val="00735E7F"/>
    <w:rsid w:val="0073649A"/>
    <w:rsid w:val="00736569"/>
    <w:rsid w:val="00736607"/>
    <w:rsid w:val="00736632"/>
    <w:rsid w:val="0073665D"/>
    <w:rsid w:val="00736854"/>
    <w:rsid w:val="00736901"/>
    <w:rsid w:val="00736935"/>
    <w:rsid w:val="00736A6F"/>
    <w:rsid w:val="00736F51"/>
    <w:rsid w:val="00737026"/>
    <w:rsid w:val="007374A6"/>
    <w:rsid w:val="0073761A"/>
    <w:rsid w:val="007376A9"/>
    <w:rsid w:val="007376FC"/>
    <w:rsid w:val="00737856"/>
    <w:rsid w:val="0074000D"/>
    <w:rsid w:val="00740520"/>
    <w:rsid w:val="007405F3"/>
    <w:rsid w:val="00740720"/>
    <w:rsid w:val="00740874"/>
    <w:rsid w:val="00740B06"/>
    <w:rsid w:val="00740E17"/>
    <w:rsid w:val="00740F1F"/>
    <w:rsid w:val="0074103C"/>
    <w:rsid w:val="00741158"/>
    <w:rsid w:val="007414B4"/>
    <w:rsid w:val="007417BE"/>
    <w:rsid w:val="00741909"/>
    <w:rsid w:val="00741995"/>
    <w:rsid w:val="007419FF"/>
    <w:rsid w:val="00741CD5"/>
    <w:rsid w:val="00741D90"/>
    <w:rsid w:val="00741E16"/>
    <w:rsid w:val="007424C2"/>
    <w:rsid w:val="00742601"/>
    <w:rsid w:val="00742631"/>
    <w:rsid w:val="007426BA"/>
    <w:rsid w:val="00742B28"/>
    <w:rsid w:val="00742C9C"/>
    <w:rsid w:val="00742D3D"/>
    <w:rsid w:val="00742EF7"/>
    <w:rsid w:val="00742FB2"/>
    <w:rsid w:val="007432FB"/>
    <w:rsid w:val="007433B6"/>
    <w:rsid w:val="00743448"/>
    <w:rsid w:val="00743455"/>
    <w:rsid w:val="0074360F"/>
    <w:rsid w:val="007436EC"/>
    <w:rsid w:val="007438C2"/>
    <w:rsid w:val="00743997"/>
    <w:rsid w:val="007439D5"/>
    <w:rsid w:val="00743F6F"/>
    <w:rsid w:val="00744001"/>
    <w:rsid w:val="007440C7"/>
    <w:rsid w:val="0074446D"/>
    <w:rsid w:val="00744CF9"/>
    <w:rsid w:val="00744EA9"/>
    <w:rsid w:val="00745227"/>
    <w:rsid w:val="00745646"/>
    <w:rsid w:val="007457B8"/>
    <w:rsid w:val="007458EE"/>
    <w:rsid w:val="00745B17"/>
    <w:rsid w:val="00746475"/>
    <w:rsid w:val="0074742C"/>
    <w:rsid w:val="00747563"/>
    <w:rsid w:val="0074775C"/>
    <w:rsid w:val="00747A99"/>
    <w:rsid w:val="00747B4E"/>
    <w:rsid w:val="00747C48"/>
    <w:rsid w:val="00747D1F"/>
    <w:rsid w:val="0075014A"/>
    <w:rsid w:val="00750574"/>
    <w:rsid w:val="007508A8"/>
    <w:rsid w:val="00750BC7"/>
    <w:rsid w:val="00750CB2"/>
    <w:rsid w:val="00750EAC"/>
    <w:rsid w:val="00750EB1"/>
    <w:rsid w:val="00751081"/>
    <w:rsid w:val="007510D6"/>
    <w:rsid w:val="00751322"/>
    <w:rsid w:val="00751694"/>
    <w:rsid w:val="0075193D"/>
    <w:rsid w:val="0075195F"/>
    <w:rsid w:val="00751A67"/>
    <w:rsid w:val="00751A96"/>
    <w:rsid w:val="00751C36"/>
    <w:rsid w:val="00751C9B"/>
    <w:rsid w:val="007520D4"/>
    <w:rsid w:val="007522E5"/>
    <w:rsid w:val="007525CC"/>
    <w:rsid w:val="007526E4"/>
    <w:rsid w:val="00752847"/>
    <w:rsid w:val="0075290C"/>
    <w:rsid w:val="0075294F"/>
    <w:rsid w:val="00752BF9"/>
    <w:rsid w:val="00752E64"/>
    <w:rsid w:val="00753087"/>
    <w:rsid w:val="007530AC"/>
    <w:rsid w:val="0075313A"/>
    <w:rsid w:val="007531C1"/>
    <w:rsid w:val="0075416B"/>
    <w:rsid w:val="007542B2"/>
    <w:rsid w:val="007542CC"/>
    <w:rsid w:val="007543CC"/>
    <w:rsid w:val="0075488D"/>
    <w:rsid w:val="00754BA0"/>
    <w:rsid w:val="00754C13"/>
    <w:rsid w:val="00754D32"/>
    <w:rsid w:val="00754F3B"/>
    <w:rsid w:val="00754FE5"/>
    <w:rsid w:val="007552F1"/>
    <w:rsid w:val="007558E9"/>
    <w:rsid w:val="00755AB7"/>
    <w:rsid w:val="00755CE4"/>
    <w:rsid w:val="00755E45"/>
    <w:rsid w:val="007562A2"/>
    <w:rsid w:val="00756403"/>
    <w:rsid w:val="007564D7"/>
    <w:rsid w:val="00756599"/>
    <w:rsid w:val="00756B25"/>
    <w:rsid w:val="00756C07"/>
    <w:rsid w:val="00756E64"/>
    <w:rsid w:val="00757167"/>
    <w:rsid w:val="00757300"/>
    <w:rsid w:val="00757301"/>
    <w:rsid w:val="007574BF"/>
    <w:rsid w:val="0075750C"/>
    <w:rsid w:val="00757E15"/>
    <w:rsid w:val="0076003C"/>
    <w:rsid w:val="0076033D"/>
    <w:rsid w:val="0076050E"/>
    <w:rsid w:val="007607CE"/>
    <w:rsid w:val="00760A4E"/>
    <w:rsid w:val="00760C24"/>
    <w:rsid w:val="00760D22"/>
    <w:rsid w:val="00761071"/>
    <w:rsid w:val="00761199"/>
    <w:rsid w:val="0076121C"/>
    <w:rsid w:val="007614E4"/>
    <w:rsid w:val="00761557"/>
    <w:rsid w:val="00761A6D"/>
    <w:rsid w:val="00761C63"/>
    <w:rsid w:val="00761D08"/>
    <w:rsid w:val="00761D9E"/>
    <w:rsid w:val="0076201E"/>
    <w:rsid w:val="00762056"/>
    <w:rsid w:val="007621AC"/>
    <w:rsid w:val="0076223E"/>
    <w:rsid w:val="0076254C"/>
    <w:rsid w:val="007625A7"/>
    <w:rsid w:val="00762A49"/>
    <w:rsid w:val="00762A52"/>
    <w:rsid w:val="00762B48"/>
    <w:rsid w:val="00762DA0"/>
    <w:rsid w:val="00762DFE"/>
    <w:rsid w:val="00762E8B"/>
    <w:rsid w:val="00762F79"/>
    <w:rsid w:val="00763164"/>
    <w:rsid w:val="0076356A"/>
    <w:rsid w:val="0076363B"/>
    <w:rsid w:val="00763697"/>
    <w:rsid w:val="007638FA"/>
    <w:rsid w:val="00763AF4"/>
    <w:rsid w:val="00763BA2"/>
    <w:rsid w:val="00763D0B"/>
    <w:rsid w:val="00763F1E"/>
    <w:rsid w:val="00763FFC"/>
    <w:rsid w:val="00764333"/>
    <w:rsid w:val="00764347"/>
    <w:rsid w:val="00764578"/>
    <w:rsid w:val="00764851"/>
    <w:rsid w:val="0076491E"/>
    <w:rsid w:val="0076556D"/>
    <w:rsid w:val="00765D7B"/>
    <w:rsid w:val="007660F5"/>
    <w:rsid w:val="00766194"/>
    <w:rsid w:val="0076631B"/>
    <w:rsid w:val="00766411"/>
    <w:rsid w:val="00766538"/>
    <w:rsid w:val="00766635"/>
    <w:rsid w:val="00766654"/>
    <w:rsid w:val="00766951"/>
    <w:rsid w:val="00766F08"/>
    <w:rsid w:val="00767278"/>
    <w:rsid w:val="007673CC"/>
    <w:rsid w:val="007677D3"/>
    <w:rsid w:val="00767B8B"/>
    <w:rsid w:val="00767CF3"/>
    <w:rsid w:val="00767E10"/>
    <w:rsid w:val="00767FCB"/>
    <w:rsid w:val="007700D6"/>
    <w:rsid w:val="00770235"/>
    <w:rsid w:val="00770298"/>
    <w:rsid w:val="007702F6"/>
    <w:rsid w:val="00770401"/>
    <w:rsid w:val="007705D6"/>
    <w:rsid w:val="00770648"/>
    <w:rsid w:val="00770878"/>
    <w:rsid w:val="007708E8"/>
    <w:rsid w:val="00770E72"/>
    <w:rsid w:val="00770FD9"/>
    <w:rsid w:val="00771338"/>
    <w:rsid w:val="007717C6"/>
    <w:rsid w:val="00771918"/>
    <w:rsid w:val="00771934"/>
    <w:rsid w:val="00771AA9"/>
    <w:rsid w:val="00771B71"/>
    <w:rsid w:val="00771B7C"/>
    <w:rsid w:val="00771C55"/>
    <w:rsid w:val="00771CCE"/>
    <w:rsid w:val="007722F3"/>
    <w:rsid w:val="0077277B"/>
    <w:rsid w:val="0077278A"/>
    <w:rsid w:val="00772A7F"/>
    <w:rsid w:val="00772A86"/>
    <w:rsid w:val="00772BDE"/>
    <w:rsid w:val="00772EB1"/>
    <w:rsid w:val="0077325B"/>
    <w:rsid w:val="0077327E"/>
    <w:rsid w:val="007732DB"/>
    <w:rsid w:val="00773619"/>
    <w:rsid w:val="007737FC"/>
    <w:rsid w:val="00773862"/>
    <w:rsid w:val="00773BAF"/>
    <w:rsid w:val="00774010"/>
    <w:rsid w:val="00774040"/>
    <w:rsid w:val="0077415C"/>
    <w:rsid w:val="007741A2"/>
    <w:rsid w:val="0077424D"/>
    <w:rsid w:val="0077432F"/>
    <w:rsid w:val="007744DC"/>
    <w:rsid w:val="0077459F"/>
    <w:rsid w:val="00774933"/>
    <w:rsid w:val="00774D5F"/>
    <w:rsid w:val="00774EA7"/>
    <w:rsid w:val="00774F5D"/>
    <w:rsid w:val="00775320"/>
    <w:rsid w:val="007753AA"/>
    <w:rsid w:val="00775641"/>
    <w:rsid w:val="0077573B"/>
    <w:rsid w:val="0077578D"/>
    <w:rsid w:val="00775829"/>
    <w:rsid w:val="0077589D"/>
    <w:rsid w:val="00775B17"/>
    <w:rsid w:val="00775B4A"/>
    <w:rsid w:val="00775D89"/>
    <w:rsid w:val="00775E3F"/>
    <w:rsid w:val="00776076"/>
    <w:rsid w:val="0077614F"/>
    <w:rsid w:val="00776258"/>
    <w:rsid w:val="007762E2"/>
    <w:rsid w:val="00776353"/>
    <w:rsid w:val="007765A6"/>
    <w:rsid w:val="007765BC"/>
    <w:rsid w:val="0077670A"/>
    <w:rsid w:val="00776759"/>
    <w:rsid w:val="007768D1"/>
    <w:rsid w:val="00776939"/>
    <w:rsid w:val="007769D7"/>
    <w:rsid w:val="00776A0D"/>
    <w:rsid w:val="00776A75"/>
    <w:rsid w:val="00776ED0"/>
    <w:rsid w:val="007774FF"/>
    <w:rsid w:val="00777C84"/>
    <w:rsid w:val="00777E3B"/>
    <w:rsid w:val="00777EE1"/>
    <w:rsid w:val="00777F51"/>
    <w:rsid w:val="0078002A"/>
    <w:rsid w:val="00780067"/>
    <w:rsid w:val="00780145"/>
    <w:rsid w:val="00780271"/>
    <w:rsid w:val="007802B9"/>
    <w:rsid w:val="00780491"/>
    <w:rsid w:val="00780638"/>
    <w:rsid w:val="0078097F"/>
    <w:rsid w:val="007809B9"/>
    <w:rsid w:val="00780BC9"/>
    <w:rsid w:val="00780CBD"/>
    <w:rsid w:val="00780FC2"/>
    <w:rsid w:val="00780FE6"/>
    <w:rsid w:val="00781181"/>
    <w:rsid w:val="00781206"/>
    <w:rsid w:val="00781227"/>
    <w:rsid w:val="007812BF"/>
    <w:rsid w:val="0078142E"/>
    <w:rsid w:val="00781619"/>
    <w:rsid w:val="00781636"/>
    <w:rsid w:val="00781684"/>
    <w:rsid w:val="007816D5"/>
    <w:rsid w:val="007818C6"/>
    <w:rsid w:val="00781AC9"/>
    <w:rsid w:val="00781CD2"/>
    <w:rsid w:val="00781D21"/>
    <w:rsid w:val="00781D41"/>
    <w:rsid w:val="00781DC3"/>
    <w:rsid w:val="00781EF1"/>
    <w:rsid w:val="00782065"/>
    <w:rsid w:val="0078238F"/>
    <w:rsid w:val="00782391"/>
    <w:rsid w:val="0078239B"/>
    <w:rsid w:val="00782700"/>
    <w:rsid w:val="0078271C"/>
    <w:rsid w:val="00782758"/>
    <w:rsid w:val="00782891"/>
    <w:rsid w:val="0078292E"/>
    <w:rsid w:val="0078294B"/>
    <w:rsid w:val="00782E55"/>
    <w:rsid w:val="007830D8"/>
    <w:rsid w:val="007831DC"/>
    <w:rsid w:val="00783281"/>
    <w:rsid w:val="007832A6"/>
    <w:rsid w:val="007834E6"/>
    <w:rsid w:val="007835E7"/>
    <w:rsid w:val="007835F0"/>
    <w:rsid w:val="00783607"/>
    <w:rsid w:val="0078361A"/>
    <w:rsid w:val="00783B5B"/>
    <w:rsid w:val="00783B8C"/>
    <w:rsid w:val="00783C3A"/>
    <w:rsid w:val="00783E17"/>
    <w:rsid w:val="00783E7D"/>
    <w:rsid w:val="007840CA"/>
    <w:rsid w:val="0078438D"/>
    <w:rsid w:val="007845E7"/>
    <w:rsid w:val="00784843"/>
    <w:rsid w:val="0078489F"/>
    <w:rsid w:val="00784DEB"/>
    <w:rsid w:val="0078507D"/>
    <w:rsid w:val="00785112"/>
    <w:rsid w:val="00785113"/>
    <w:rsid w:val="0078543C"/>
    <w:rsid w:val="007855E4"/>
    <w:rsid w:val="007856CA"/>
    <w:rsid w:val="00785801"/>
    <w:rsid w:val="00785893"/>
    <w:rsid w:val="00785995"/>
    <w:rsid w:val="007859AB"/>
    <w:rsid w:val="00785BAB"/>
    <w:rsid w:val="00785D39"/>
    <w:rsid w:val="007861FC"/>
    <w:rsid w:val="0078643B"/>
    <w:rsid w:val="0078693D"/>
    <w:rsid w:val="00786C83"/>
    <w:rsid w:val="00786DCD"/>
    <w:rsid w:val="0078707E"/>
    <w:rsid w:val="007871FB"/>
    <w:rsid w:val="0078736D"/>
    <w:rsid w:val="007873E6"/>
    <w:rsid w:val="00787517"/>
    <w:rsid w:val="007877FB"/>
    <w:rsid w:val="007879A7"/>
    <w:rsid w:val="00787A32"/>
    <w:rsid w:val="00787C33"/>
    <w:rsid w:val="00787FF1"/>
    <w:rsid w:val="00790038"/>
    <w:rsid w:val="007900FF"/>
    <w:rsid w:val="007901EE"/>
    <w:rsid w:val="007901F6"/>
    <w:rsid w:val="007902D0"/>
    <w:rsid w:val="00790326"/>
    <w:rsid w:val="0079049F"/>
    <w:rsid w:val="0079054F"/>
    <w:rsid w:val="007905E3"/>
    <w:rsid w:val="00790751"/>
    <w:rsid w:val="00790959"/>
    <w:rsid w:val="00790A18"/>
    <w:rsid w:val="00790A97"/>
    <w:rsid w:val="00790DF4"/>
    <w:rsid w:val="00791329"/>
    <w:rsid w:val="007916B8"/>
    <w:rsid w:val="007916FC"/>
    <w:rsid w:val="00791DD1"/>
    <w:rsid w:val="00791F80"/>
    <w:rsid w:val="007921B4"/>
    <w:rsid w:val="0079287B"/>
    <w:rsid w:val="00792903"/>
    <w:rsid w:val="0079290C"/>
    <w:rsid w:val="00792B10"/>
    <w:rsid w:val="00792B6F"/>
    <w:rsid w:val="00792D90"/>
    <w:rsid w:val="0079307C"/>
    <w:rsid w:val="00793309"/>
    <w:rsid w:val="007936F0"/>
    <w:rsid w:val="007939F8"/>
    <w:rsid w:val="00793D26"/>
    <w:rsid w:val="00793F3B"/>
    <w:rsid w:val="00794213"/>
    <w:rsid w:val="00794675"/>
    <w:rsid w:val="00794722"/>
    <w:rsid w:val="00794797"/>
    <w:rsid w:val="0079499A"/>
    <w:rsid w:val="00795209"/>
    <w:rsid w:val="007954A8"/>
    <w:rsid w:val="007955E6"/>
    <w:rsid w:val="00795C1B"/>
    <w:rsid w:val="00795CD5"/>
    <w:rsid w:val="00795DB9"/>
    <w:rsid w:val="00795F7D"/>
    <w:rsid w:val="00796086"/>
    <w:rsid w:val="00796200"/>
    <w:rsid w:val="00796395"/>
    <w:rsid w:val="007965CE"/>
    <w:rsid w:val="00796928"/>
    <w:rsid w:val="007969BA"/>
    <w:rsid w:val="00796A46"/>
    <w:rsid w:val="00796E23"/>
    <w:rsid w:val="00796E85"/>
    <w:rsid w:val="0079705C"/>
    <w:rsid w:val="00797210"/>
    <w:rsid w:val="007972C3"/>
    <w:rsid w:val="00797400"/>
    <w:rsid w:val="00797596"/>
    <w:rsid w:val="007975D7"/>
    <w:rsid w:val="00797604"/>
    <w:rsid w:val="00797650"/>
    <w:rsid w:val="007979C0"/>
    <w:rsid w:val="00797A00"/>
    <w:rsid w:val="00797BF4"/>
    <w:rsid w:val="00797C3B"/>
    <w:rsid w:val="00797C4D"/>
    <w:rsid w:val="00797D12"/>
    <w:rsid w:val="00797D9F"/>
    <w:rsid w:val="007A0025"/>
    <w:rsid w:val="007A01FD"/>
    <w:rsid w:val="007A025A"/>
    <w:rsid w:val="007A0305"/>
    <w:rsid w:val="007A05B1"/>
    <w:rsid w:val="007A075E"/>
    <w:rsid w:val="007A07A4"/>
    <w:rsid w:val="007A0802"/>
    <w:rsid w:val="007A0A19"/>
    <w:rsid w:val="007A0ABB"/>
    <w:rsid w:val="007A0B8F"/>
    <w:rsid w:val="007A11E3"/>
    <w:rsid w:val="007A11F4"/>
    <w:rsid w:val="007A11FE"/>
    <w:rsid w:val="007A1253"/>
    <w:rsid w:val="007A12E1"/>
    <w:rsid w:val="007A130F"/>
    <w:rsid w:val="007A16AE"/>
    <w:rsid w:val="007A17A2"/>
    <w:rsid w:val="007A1E0E"/>
    <w:rsid w:val="007A1F65"/>
    <w:rsid w:val="007A234D"/>
    <w:rsid w:val="007A2391"/>
    <w:rsid w:val="007A23C3"/>
    <w:rsid w:val="007A24B1"/>
    <w:rsid w:val="007A2589"/>
    <w:rsid w:val="007A277D"/>
    <w:rsid w:val="007A29DA"/>
    <w:rsid w:val="007A29FD"/>
    <w:rsid w:val="007A2B85"/>
    <w:rsid w:val="007A2B9E"/>
    <w:rsid w:val="007A2E7A"/>
    <w:rsid w:val="007A3140"/>
    <w:rsid w:val="007A3459"/>
    <w:rsid w:val="007A35F4"/>
    <w:rsid w:val="007A3625"/>
    <w:rsid w:val="007A381B"/>
    <w:rsid w:val="007A3957"/>
    <w:rsid w:val="007A3A11"/>
    <w:rsid w:val="007A3AAE"/>
    <w:rsid w:val="007A3BD4"/>
    <w:rsid w:val="007A3E81"/>
    <w:rsid w:val="007A3F4A"/>
    <w:rsid w:val="007A4249"/>
    <w:rsid w:val="007A4256"/>
    <w:rsid w:val="007A46CF"/>
    <w:rsid w:val="007A4791"/>
    <w:rsid w:val="007A4A07"/>
    <w:rsid w:val="007A4A57"/>
    <w:rsid w:val="007A4B2E"/>
    <w:rsid w:val="007A4C41"/>
    <w:rsid w:val="007A4C46"/>
    <w:rsid w:val="007A4D4F"/>
    <w:rsid w:val="007A4D6E"/>
    <w:rsid w:val="007A4ED4"/>
    <w:rsid w:val="007A515A"/>
    <w:rsid w:val="007A5363"/>
    <w:rsid w:val="007A5433"/>
    <w:rsid w:val="007A54A5"/>
    <w:rsid w:val="007A5624"/>
    <w:rsid w:val="007A56B0"/>
    <w:rsid w:val="007A5734"/>
    <w:rsid w:val="007A59D8"/>
    <w:rsid w:val="007A5B60"/>
    <w:rsid w:val="007A5C56"/>
    <w:rsid w:val="007A5E0C"/>
    <w:rsid w:val="007A617C"/>
    <w:rsid w:val="007A636A"/>
    <w:rsid w:val="007A6454"/>
    <w:rsid w:val="007A6ADD"/>
    <w:rsid w:val="007A6C24"/>
    <w:rsid w:val="007A6FA1"/>
    <w:rsid w:val="007A710E"/>
    <w:rsid w:val="007A714B"/>
    <w:rsid w:val="007A72B7"/>
    <w:rsid w:val="007A72C4"/>
    <w:rsid w:val="007A736C"/>
    <w:rsid w:val="007A74C1"/>
    <w:rsid w:val="007A76AF"/>
    <w:rsid w:val="007A7B18"/>
    <w:rsid w:val="007A7D4D"/>
    <w:rsid w:val="007A7E3F"/>
    <w:rsid w:val="007A7FC0"/>
    <w:rsid w:val="007B017B"/>
    <w:rsid w:val="007B035F"/>
    <w:rsid w:val="007B04E1"/>
    <w:rsid w:val="007B055C"/>
    <w:rsid w:val="007B0582"/>
    <w:rsid w:val="007B05A6"/>
    <w:rsid w:val="007B06F5"/>
    <w:rsid w:val="007B0728"/>
    <w:rsid w:val="007B0930"/>
    <w:rsid w:val="007B0991"/>
    <w:rsid w:val="007B0C6D"/>
    <w:rsid w:val="007B0FBE"/>
    <w:rsid w:val="007B1028"/>
    <w:rsid w:val="007B1155"/>
    <w:rsid w:val="007B1348"/>
    <w:rsid w:val="007B178F"/>
    <w:rsid w:val="007B1802"/>
    <w:rsid w:val="007B183C"/>
    <w:rsid w:val="007B1AEE"/>
    <w:rsid w:val="007B1EDC"/>
    <w:rsid w:val="007B2001"/>
    <w:rsid w:val="007B2036"/>
    <w:rsid w:val="007B21F5"/>
    <w:rsid w:val="007B222B"/>
    <w:rsid w:val="007B24D7"/>
    <w:rsid w:val="007B26E6"/>
    <w:rsid w:val="007B2824"/>
    <w:rsid w:val="007B2B45"/>
    <w:rsid w:val="007B2BAE"/>
    <w:rsid w:val="007B2BFB"/>
    <w:rsid w:val="007B2C26"/>
    <w:rsid w:val="007B2D83"/>
    <w:rsid w:val="007B305D"/>
    <w:rsid w:val="007B317C"/>
    <w:rsid w:val="007B32A0"/>
    <w:rsid w:val="007B3432"/>
    <w:rsid w:val="007B3438"/>
    <w:rsid w:val="007B34A4"/>
    <w:rsid w:val="007B3672"/>
    <w:rsid w:val="007B36F9"/>
    <w:rsid w:val="007B383A"/>
    <w:rsid w:val="007B3A04"/>
    <w:rsid w:val="007B3C8C"/>
    <w:rsid w:val="007B3E65"/>
    <w:rsid w:val="007B3F65"/>
    <w:rsid w:val="007B45C0"/>
    <w:rsid w:val="007B4BF7"/>
    <w:rsid w:val="007B4D6C"/>
    <w:rsid w:val="007B4F10"/>
    <w:rsid w:val="007B50D7"/>
    <w:rsid w:val="007B5349"/>
    <w:rsid w:val="007B5421"/>
    <w:rsid w:val="007B5604"/>
    <w:rsid w:val="007B565F"/>
    <w:rsid w:val="007B58BD"/>
    <w:rsid w:val="007B5D5E"/>
    <w:rsid w:val="007B5EA2"/>
    <w:rsid w:val="007B5F61"/>
    <w:rsid w:val="007B62D5"/>
    <w:rsid w:val="007B6355"/>
    <w:rsid w:val="007B6547"/>
    <w:rsid w:val="007B66B5"/>
    <w:rsid w:val="007B6A62"/>
    <w:rsid w:val="007B6C42"/>
    <w:rsid w:val="007B6C7B"/>
    <w:rsid w:val="007B6C8C"/>
    <w:rsid w:val="007B6F63"/>
    <w:rsid w:val="007B6F6D"/>
    <w:rsid w:val="007B71AD"/>
    <w:rsid w:val="007B7263"/>
    <w:rsid w:val="007B742C"/>
    <w:rsid w:val="007B7454"/>
    <w:rsid w:val="007B74A0"/>
    <w:rsid w:val="007B754E"/>
    <w:rsid w:val="007B77EA"/>
    <w:rsid w:val="007B7B2D"/>
    <w:rsid w:val="007B7D6C"/>
    <w:rsid w:val="007B7F9A"/>
    <w:rsid w:val="007B7FEA"/>
    <w:rsid w:val="007C0184"/>
    <w:rsid w:val="007C0271"/>
    <w:rsid w:val="007C03EE"/>
    <w:rsid w:val="007C04D2"/>
    <w:rsid w:val="007C0537"/>
    <w:rsid w:val="007C07A0"/>
    <w:rsid w:val="007C09E8"/>
    <w:rsid w:val="007C09EA"/>
    <w:rsid w:val="007C0A84"/>
    <w:rsid w:val="007C0A99"/>
    <w:rsid w:val="007C0BEA"/>
    <w:rsid w:val="007C0C92"/>
    <w:rsid w:val="007C0DFF"/>
    <w:rsid w:val="007C0E86"/>
    <w:rsid w:val="007C0F18"/>
    <w:rsid w:val="007C1102"/>
    <w:rsid w:val="007C11B7"/>
    <w:rsid w:val="007C16A4"/>
    <w:rsid w:val="007C16D4"/>
    <w:rsid w:val="007C206B"/>
    <w:rsid w:val="007C272E"/>
    <w:rsid w:val="007C276D"/>
    <w:rsid w:val="007C2AE9"/>
    <w:rsid w:val="007C2B3D"/>
    <w:rsid w:val="007C2BBC"/>
    <w:rsid w:val="007C2C19"/>
    <w:rsid w:val="007C2E49"/>
    <w:rsid w:val="007C2E62"/>
    <w:rsid w:val="007C325F"/>
    <w:rsid w:val="007C3497"/>
    <w:rsid w:val="007C34E2"/>
    <w:rsid w:val="007C381A"/>
    <w:rsid w:val="007C3BFF"/>
    <w:rsid w:val="007C3DBC"/>
    <w:rsid w:val="007C3E25"/>
    <w:rsid w:val="007C4071"/>
    <w:rsid w:val="007C450C"/>
    <w:rsid w:val="007C4615"/>
    <w:rsid w:val="007C47BF"/>
    <w:rsid w:val="007C4952"/>
    <w:rsid w:val="007C4BA5"/>
    <w:rsid w:val="007C4D45"/>
    <w:rsid w:val="007C4D7E"/>
    <w:rsid w:val="007C50B7"/>
    <w:rsid w:val="007C540A"/>
    <w:rsid w:val="007C5505"/>
    <w:rsid w:val="007C5527"/>
    <w:rsid w:val="007C5536"/>
    <w:rsid w:val="007C566F"/>
    <w:rsid w:val="007C567F"/>
    <w:rsid w:val="007C575A"/>
    <w:rsid w:val="007C57BB"/>
    <w:rsid w:val="007C5828"/>
    <w:rsid w:val="007C5A44"/>
    <w:rsid w:val="007C5C79"/>
    <w:rsid w:val="007C5CB6"/>
    <w:rsid w:val="007C5E35"/>
    <w:rsid w:val="007C5E67"/>
    <w:rsid w:val="007C61F0"/>
    <w:rsid w:val="007C64FF"/>
    <w:rsid w:val="007C65F9"/>
    <w:rsid w:val="007C6A27"/>
    <w:rsid w:val="007C6AF4"/>
    <w:rsid w:val="007C6BD8"/>
    <w:rsid w:val="007C6C3E"/>
    <w:rsid w:val="007C6C98"/>
    <w:rsid w:val="007C6F2E"/>
    <w:rsid w:val="007C7150"/>
    <w:rsid w:val="007C716D"/>
    <w:rsid w:val="007C72BF"/>
    <w:rsid w:val="007C73F8"/>
    <w:rsid w:val="007C74D4"/>
    <w:rsid w:val="007C75B2"/>
    <w:rsid w:val="007C77C4"/>
    <w:rsid w:val="007C7991"/>
    <w:rsid w:val="007C7A05"/>
    <w:rsid w:val="007C7A77"/>
    <w:rsid w:val="007C7AC1"/>
    <w:rsid w:val="007C7BA3"/>
    <w:rsid w:val="007C7C65"/>
    <w:rsid w:val="007C7E16"/>
    <w:rsid w:val="007C7E2D"/>
    <w:rsid w:val="007C7E74"/>
    <w:rsid w:val="007C7FF2"/>
    <w:rsid w:val="007D004B"/>
    <w:rsid w:val="007D01AE"/>
    <w:rsid w:val="007D0206"/>
    <w:rsid w:val="007D0473"/>
    <w:rsid w:val="007D05D0"/>
    <w:rsid w:val="007D0782"/>
    <w:rsid w:val="007D0A52"/>
    <w:rsid w:val="007D0DF7"/>
    <w:rsid w:val="007D0FCF"/>
    <w:rsid w:val="007D16DC"/>
    <w:rsid w:val="007D180E"/>
    <w:rsid w:val="007D1A46"/>
    <w:rsid w:val="007D1C6F"/>
    <w:rsid w:val="007D1DAD"/>
    <w:rsid w:val="007D1E17"/>
    <w:rsid w:val="007D201E"/>
    <w:rsid w:val="007D20DE"/>
    <w:rsid w:val="007D2953"/>
    <w:rsid w:val="007D2A40"/>
    <w:rsid w:val="007D2A8E"/>
    <w:rsid w:val="007D2AE8"/>
    <w:rsid w:val="007D2BF9"/>
    <w:rsid w:val="007D2C0C"/>
    <w:rsid w:val="007D2C6F"/>
    <w:rsid w:val="007D2D18"/>
    <w:rsid w:val="007D2EAA"/>
    <w:rsid w:val="007D2EC8"/>
    <w:rsid w:val="007D2F53"/>
    <w:rsid w:val="007D2FB4"/>
    <w:rsid w:val="007D2FBF"/>
    <w:rsid w:val="007D30D3"/>
    <w:rsid w:val="007D3108"/>
    <w:rsid w:val="007D328B"/>
    <w:rsid w:val="007D3336"/>
    <w:rsid w:val="007D372C"/>
    <w:rsid w:val="007D394D"/>
    <w:rsid w:val="007D3B2E"/>
    <w:rsid w:val="007D3C73"/>
    <w:rsid w:val="007D3E51"/>
    <w:rsid w:val="007D3F61"/>
    <w:rsid w:val="007D4586"/>
    <w:rsid w:val="007D47AA"/>
    <w:rsid w:val="007D495A"/>
    <w:rsid w:val="007D4C26"/>
    <w:rsid w:val="007D4E7A"/>
    <w:rsid w:val="007D4EAC"/>
    <w:rsid w:val="007D4FC9"/>
    <w:rsid w:val="007D50DC"/>
    <w:rsid w:val="007D53D7"/>
    <w:rsid w:val="007D5455"/>
    <w:rsid w:val="007D5568"/>
    <w:rsid w:val="007D5595"/>
    <w:rsid w:val="007D5646"/>
    <w:rsid w:val="007D58AA"/>
    <w:rsid w:val="007D5A4C"/>
    <w:rsid w:val="007D5B90"/>
    <w:rsid w:val="007D5BB4"/>
    <w:rsid w:val="007D5D24"/>
    <w:rsid w:val="007D5F28"/>
    <w:rsid w:val="007D5F3B"/>
    <w:rsid w:val="007D5FB1"/>
    <w:rsid w:val="007D60F6"/>
    <w:rsid w:val="007D633D"/>
    <w:rsid w:val="007D6418"/>
    <w:rsid w:val="007D672C"/>
    <w:rsid w:val="007D673F"/>
    <w:rsid w:val="007D676A"/>
    <w:rsid w:val="007D682F"/>
    <w:rsid w:val="007D6D86"/>
    <w:rsid w:val="007D7170"/>
    <w:rsid w:val="007D7319"/>
    <w:rsid w:val="007D74A2"/>
    <w:rsid w:val="007D7839"/>
    <w:rsid w:val="007D7C84"/>
    <w:rsid w:val="007D7E1D"/>
    <w:rsid w:val="007D7EA1"/>
    <w:rsid w:val="007E00ED"/>
    <w:rsid w:val="007E024D"/>
    <w:rsid w:val="007E0301"/>
    <w:rsid w:val="007E07A6"/>
    <w:rsid w:val="007E081B"/>
    <w:rsid w:val="007E092B"/>
    <w:rsid w:val="007E1256"/>
    <w:rsid w:val="007E126C"/>
    <w:rsid w:val="007E12BB"/>
    <w:rsid w:val="007E12D0"/>
    <w:rsid w:val="007E1347"/>
    <w:rsid w:val="007E146A"/>
    <w:rsid w:val="007E149F"/>
    <w:rsid w:val="007E1518"/>
    <w:rsid w:val="007E1705"/>
    <w:rsid w:val="007E18F7"/>
    <w:rsid w:val="007E1934"/>
    <w:rsid w:val="007E19F9"/>
    <w:rsid w:val="007E1E7B"/>
    <w:rsid w:val="007E20C7"/>
    <w:rsid w:val="007E2148"/>
    <w:rsid w:val="007E22DB"/>
    <w:rsid w:val="007E2311"/>
    <w:rsid w:val="007E2333"/>
    <w:rsid w:val="007E245F"/>
    <w:rsid w:val="007E251C"/>
    <w:rsid w:val="007E2A40"/>
    <w:rsid w:val="007E31F5"/>
    <w:rsid w:val="007E325D"/>
    <w:rsid w:val="007E32AC"/>
    <w:rsid w:val="007E32D1"/>
    <w:rsid w:val="007E32DA"/>
    <w:rsid w:val="007E3386"/>
    <w:rsid w:val="007E38BD"/>
    <w:rsid w:val="007E404D"/>
    <w:rsid w:val="007E43FD"/>
    <w:rsid w:val="007E4560"/>
    <w:rsid w:val="007E4574"/>
    <w:rsid w:val="007E46F0"/>
    <w:rsid w:val="007E471C"/>
    <w:rsid w:val="007E485B"/>
    <w:rsid w:val="007E4A56"/>
    <w:rsid w:val="007E4FC5"/>
    <w:rsid w:val="007E52FB"/>
    <w:rsid w:val="007E542A"/>
    <w:rsid w:val="007E58BD"/>
    <w:rsid w:val="007E59BD"/>
    <w:rsid w:val="007E5A30"/>
    <w:rsid w:val="007E5AB1"/>
    <w:rsid w:val="007E5BAC"/>
    <w:rsid w:val="007E5D54"/>
    <w:rsid w:val="007E5E59"/>
    <w:rsid w:val="007E5E6E"/>
    <w:rsid w:val="007E6141"/>
    <w:rsid w:val="007E6215"/>
    <w:rsid w:val="007E633B"/>
    <w:rsid w:val="007E65B6"/>
    <w:rsid w:val="007E69AB"/>
    <w:rsid w:val="007E6A6C"/>
    <w:rsid w:val="007E6B07"/>
    <w:rsid w:val="007E6B63"/>
    <w:rsid w:val="007E6C6F"/>
    <w:rsid w:val="007E70C3"/>
    <w:rsid w:val="007E737B"/>
    <w:rsid w:val="007E745A"/>
    <w:rsid w:val="007E74F7"/>
    <w:rsid w:val="007E75CA"/>
    <w:rsid w:val="007E7867"/>
    <w:rsid w:val="007E78E3"/>
    <w:rsid w:val="007E797F"/>
    <w:rsid w:val="007E7A64"/>
    <w:rsid w:val="007E7C86"/>
    <w:rsid w:val="007E7CDF"/>
    <w:rsid w:val="007E7DE0"/>
    <w:rsid w:val="007F0228"/>
    <w:rsid w:val="007F0282"/>
    <w:rsid w:val="007F02AF"/>
    <w:rsid w:val="007F030F"/>
    <w:rsid w:val="007F0589"/>
    <w:rsid w:val="007F070D"/>
    <w:rsid w:val="007F0926"/>
    <w:rsid w:val="007F0CCF"/>
    <w:rsid w:val="007F0D37"/>
    <w:rsid w:val="007F0E84"/>
    <w:rsid w:val="007F11D9"/>
    <w:rsid w:val="007F1278"/>
    <w:rsid w:val="007F14CE"/>
    <w:rsid w:val="007F14E9"/>
    <w:rsid w:val="007F151A"/>
    <w:rsid w:val="007F168D"/>
    <w:rsid w:val="007F174A"/>
    <w:rsid w:val="007F1755"/>
    <w:rsid w:val="007F18C8"/>
    <w:rsid w:val="007F25C6"/>
    <w:rsid w:val="007F25EC"/>
    <w:rsid w:val="007F2B5A"/>
    <w:rsid w:val="007F2B96"/>
    <w:rsid w:val="007F2C78"/>
    <w:rsid w:val="007F3020"/>
    <w:rsid w:val="007F31FC"/>
    <w:rsid w:val="007F3241"/>
    <w:rsid w:val="007F33E5"/>
    <w:rsid w:val="007F36E2"/>
    <w:rsid w:val="007F3776"/>
    <w:rsid w:val="007F3962"/>
    <w:rsid w:val="007F3BA7"/>
    <w:rsid w:val="007F3C51"/>
    <w:rsid w:val="007F3DA5"/>
    <w:rsid w:val="007F3E4B"/>
    <w:rsid w:val="007F3F52"/>
    <w:rsid w:val="007F438B"/>
    <w:rsid w:val="007F47F8"/>
    <w:rsid w:val="007F49F3"/>
    <w:rsid w:val="007F4BFB"/>
    <w:rsid w:val="007F4CC8"/>
    <w:rsid w:val="007F4D7C"/>
    <w:rsid w:val="007F52F3"/>
    <w:rsid w:val="007F53D1"/>
    <w:rsid w:val="007F5909"/>
    <w:rsid w:val="007F5B3B"/>
    <w:rsid w:val="007F5DE8"/>
    <w:rsid w:val="007F61FB"/>
    <w:rsid w:val="007F63B6"/>
    <w:rsid w:val="007F6487"/>
    <w:rsid w:val="007F651B"/>
    <w:rsid w:val="007F6596"/>
    <w:rsid w:val="007F7016"/>
    <w:rsid w:val="007F71F2"/>
    <w:rsid w:val="007F732B"/>
    <w:rsid w:val="007F7539"/>
    <w:rsid w:val="007F769F"/>
    <w:rsid w:val="007F785C"/>
    <w:rsid w:val="007F7C9B"/>
    <w:rsid w:val="007F7D63"/>
    <w:rsid w:val="00800076"/>
    <w:rsid w:val="00800078"/>
    <w:rsid w:val="00800207"/>
    <w:rsid w:val="008002F6"/>
    <w:rsid w:val="0080042B"/>
    <w:rsid w:val="008004D4"/>
    <w:rsid w:val="008005F7"/>
    <w:rsid w:val="008006F0"/>
    <w:rsid w:val="00800723"/>
    <w:rsid w:val="00800756"/>
    <w:rsid w:val="00800ADB"/>
    <w:rsid w:val="00800D47"/>
    <w:rsid w:val="00800DF1"/>
    <w:rsid w:val="00800EC2"/>
    <w:rsid w:val="00801001"/>
    <w:rsid w:val="0080122A"/>
    <w:rsid w:val="008013AF"/>
    <w:rsid w:val="00801410"/>
    <w:rsid w:val="008014D9"/>
    <w:rsid w:val="0080152C"/>
    <w:rsid w:val="00801C64"/>
    <w:rsid w:val="00801CC7"/>
    <w:rsid w:val="00801CD7"/>
    <w:rsid w:val="00801FE5"/>
    <w:rsid w:val="0080200E"/>
    <w:rsid w:val="0080201F"/>
    <w:rsid w:val="0080204B"/>
    <w:rsid w:val="00802157"/>
    <w:rsid w:val="008021CA"/>
    <w:rsid w:val="00802292"/>
    <w:rsid w:val="0080244D"/>
    <w:rsid w:val="008024E0"/>
    <w:rsid w:val="0080259C"/>
    <w:rsid w:val="0080265A"/>
    <w:rsid w:val="00802913"/>
    <w:rsid w:val="0080293C"/>
    <w:rsid w:val="00802F05"/>
    <w:rsid w:val="00802F8D"/>
    <w:rsid w:val="0080328C"/>
    <w:rsid w:val="008034CE"/>
    <w:rsid w:val="008035F7"/>
    <w:rsid w:val="00803641"/>
    <w:rsid w:val="00803700"/>
    <w:rsid w:val="00803857"/>
    <w:rsid w:val="00803A40"/>
    <w:rsid w:val="00803ADC"/>
    <w:rsid w:val="00804036"/>
    <w:rsid w:val="008040D1"/>
    <w:rsid w:val="008041C4"/>
    <w:rsid w:val="008047A1"/>
    <w:rsid w:val="008048FC"/>
    <w:rsid w:val="00804BE2"/>
    <w:rsid w:val="00804CAC"/>
    <w:rsid w:val="00804CD6"/>
    <w:rsid w:val="00804CFD"/>
    <w:rsid w:val="00804D5C"/>
    <w:rsid w:val="00804D71"/>
    <w:rsid w:val="00804E09"/>
    <w:rsid w:val="00804F3F"/>
    <w:rsid w:val="00804FA1"/>
    <w:rsid w:val="00805004"/>
    <w:rsid w:val="00805013"/>
    <w:rsid w:val="00805052"/>
    <w:rsid w:val="008051DC"/>
    <w:rsid w:val="00805402"/>
    <w:rsid w:val="00805497"/>
    <w:rsid w:val="008054AE"/>
    <w:rsid w:val="0080564A"/>
    <w:rsid w:val="00805662"/>
    <w:rsid w:val="008056CC"/>
    <w:rsid w:val="00805866"/>
    <w:rsid w:val="008058A1"/>
    <w:rsid w:val="00805976"/>
    <w:rsid w:val="00805B55"/>
    <w:rsid w:val="00805B70"/>
    <w:rsid w:val="00805CDF"/>
    <w:rsid w:val="00805EF2"/>
    <w:rsid w:val="00806446"/>
    <w:rsid w:val="00806693"/>
    <w:rsid w:val="0080690A"/>
    <w:rsid w:val="00806925"/>
    <w:rsid w:val="00806A78"/>
    <w:rsid w:val="00806B7D"/>
    <w:rsid w:val="00806B84"/>
    <w:rsid w:val="00806BD9"/>
    <w:rsid w:val="00806CD7"/>
    <w:rsid w:val="00806FA2"/>
    <w:rsid w:val="00806FD0"/>
    <w:rsid w:val="008073A8"/>
    <w:rsid w:val="00807493"/>
    <w:rsid w:val="008078A9"/>
    <w:rsid w:val="00807B78"/>
    <w:rsid w:val="00807D6C"/>
    <w:rsid w:val="00807F2F"/>
    <w:rsid w:val="00810211"/>
    <w:rsid w:val="0081030A"/>
    <w:rsid w:val="0081038E"/>
    <w:rsid w:val="008103B1"/>
    <w:rsid w:val="008104AC"/>
    <w:rsid w:val="008106B2"/>
    <w:rsid w:val="00810AEC"/>
    <w:rsid w:val="00810F61"/>
    <w:rsid w:val="00811008"/>
    <w:rsid w:val="0081122D"/>
    <w:rsid w:val="0081167C"/>
    <w:rsid w:val="00811A5A"/>
    <w:rsid w:val="00811B69"/>
    <w:rsid w:val="00811D9A"/>
    <w:rsid w:val="00811E28"/>
    <w:rsid w:val="00811ED4"/>
    <w:rsid w:val="00812056"/>
    <w:rsid w:val="00812075"/>
    <w:rsid w:val="00812132"/>
    <w:rsid w:val="008121FF"/>
    <w:rsid w:val="00812346"/>
    <w:rsid w:val="00812889"/>
    <w:rsid w:val="00812AD2"/>
    <w:rsid w:val="00812BFC"/>
    <w:rsid w:val="00812D39"/>
    <w:rsid w:val="0081302F"/>
    <w:rsid w:val="0081320A"/>
    <w:rsid w:val="00813462"/>
    <w:rsid w:val="00813713"/>
    <w:rsid w:val="0081375E"/>
    <w:rsid w:val="00813821"/>
    <w:rsid w:val="008138D7"/>
    <w:rsid w:val="00813AB5"/>
    <w:rsid w:val="00813ED6"/>
    <w:rsid w:val="00813FE9"/>
    <w:rsid w:val="008140CA"/>
    <w:rsid w:val="00814118"/>
    <w:rsid w:val="008143CD"/>
    <w:rsid w:val="0081445A"/>
    <w:rsid w:val="008145AD"/>
    <w:rsid w:val="00814653"/>
    <w:rsid w:val="00814809"/>
    <w:rsid w:val="00814847"/>
    <w:rsid w:val="00814988"/>
    <w:rsid w:val="00814D30"/>
    <w:rsid w:val="00814E8C"/>
    <w:rsid w:val="00814EF1"/>
    <w:rsid w:val="00815089"/>
    <w:rsid w:val="00815110"/>
    <w:rsid w:val="0081517D"/>
    <w:rsid w:val="008152D8"/>
    <w:rsid w:val="008153F2"/>
    <w:rsid w:val="0081566F"/>
    <w:rsid w:val="00815786"/>
    <w:rsid w:val="00815A6D"/>
    <w:rsid w:val="00815B37"/>
    <w:rsid w:val="00815D8C"/>
    <w:rsid w:val="00815E5F"/>
    <w:rsid w:val="00815F09"/>
    <w:rsid w:val="008162A8"/>
    <w:rsid w:val="0081654B"/>
    <w:rsid w:val="008165B0"/>
    <w:rsid w:val="00816742"/>
    <w:rsid w:val="00816790"/>
    <w:rsid w:val="008167CE"/>
    <w:rsid w:val="0081688D"/>
    <w:rsid w:val="00816906"/>
    <w:rsid w:val="00816967"/>
    <w:rsid w:val="0081696B"/>
    <w:rsid w:val="00816C57"/>
    <w:rsid w:val="00816CD2"/>
    <w:rsid w:val="00816D7E"/>
    <w:rsid w:val="00816D83"/>
    <w:rsid w:val="00816DA1"/>
    <w:rsid w:val="00816E86"/>
    <w:rsid w:val="00816EAC"/>
    <w:rsid w:val="00816EB0"/>
    <w:rsid w:val="00816F28"/>
    <w:rsid w:val="00816F7F"/>
    <w:rsid w:val="00817084"/>
    <w:rsid w:val="008170B1"/>
    <w:rsid w:val="0081712C"/>
    <w:rsid w:val="008176F3"/>
    <w:rsid w:val="00817787"/>
    <w:rsid w:val="00817866"/>
    <w:rsid w:val="00817AB0"/>
    <w:rsid w:val="00817B97"/>
    <w:rsid w:val="00817D53"/>
    <w:rsid w:val="00817ED5"/>
    <w:rsid w:val="00820218"/>
    <w:rsid w:val="00820435"/>
    <w:rsid w:val="00820599"/>
    <w:rsid w:val="008207DC"/>
    <w:rsid w:val="008208A6"/>
    <w:rsid w:val="00820925"/>
    <w:rsid w:val="00820E66"/>
    <w:rsid w:val="00821256"/>
    <w:rsid w:val="008213B4"/>
    <w:rsid w:val="008214B7"/>
    <w:rsid w:val="00821633"/>
    <w:rsid w:val="00821AA1"/>
    <w:rsid w:val="00821C3C"/>
    <w:rsid w:val="00821E12"/>
    <w:rsid w:val="00821F65"/>
    <w:rsid w:val="00821FBD"/>
    <w:rsid w:val="00822158"/>
    <w:rsid w:val="008223EA"/>
    <w:rsid w:val="00822419"/>
    <w:rsid w:val="008225EB"/>
    <w:rsid w:val="008226E6"/>
    <w:rsid w:val="008228D9"/>
    <w:rsid w:val="00822929"/>
    <w:rsid w:val="00822971"/>
    <w:rsid w:val="00822B70"/>
    <w:rsid w:val="00822D12"/>
    <w:rsid w:val="00822EBE"/>
    <w:rsid w:val="00823133"/>
    <w:rsid w:val="008233F8"/>
    <w:rsid w:val="00823451"/>
    <w:rsid w:val="00824036"/>
    <w:rsid w:val="008240E3"/>
    <w:rsid w:val="00824143"/>
    <w:rsid w:val="008244AC"/>
    <w:rsid w:val="008244F4"/>
    <w:rsid w:val="00824608"/>
    <w:rsid w:val="00824887"/>
    <w:rsid w:val="008249EC"/>
    <w:rsid w:val="00824E48"/>
    <w:rsid w:val="00824FF3"/>
    <w:rsid w:val="00825018"/>
    <w:rsid w:val="008250B3"/>
    <w:rsid w:val="008250C4"/>
    <w:rsid w:val="008250EC"/>
    <w:rsid w:val="008251BF"/>
    <w:rsid w:val="008251E5"/>
    <w:rsid w:val="008252C2"/>
    <w:rsid w:val="008254E4"/>
    <w:rsid w:val="008256BB"/>
    <w:rsid w:val="00825727"/>
    <w:rsid w:val="00825756"/>
    <w:rsid w:val="00825856"/>
    <w:rsid w:val="008258E7"/>
    <w:rsid w:val="0082593E"/>
    <w:rsid w:val="00825B6E"/>
    <w:rsid w:val="00825ED2"/>
    <w:rsid w:val="00826006"/>
    <w:rsid w:val="00826235"/>
    <w:rsid w:val="00826484"/>
    <w:rsid w:val="008267A3"/>
    <w:rsid w:val="00826C28"/>
    <w:rsid w:val="00826E82"/>
    <w:rsid w:val="00826F3B"/>
    <w:rsid w:val="00826F48"/>
    <w:rsid w:val="00826FC3"/>
    <w:rsid w:val="00826FD2"/>
    <w:rsid w:val="0082728C"/>
    <w:rsid w:val="008273A1"/>
    <w:rsid w:val="00827854"/>
    <w:rsid w:val="008278C2"/>
    <w:rsid w:val="00827904"/>
    <w:rsid w:val="008279B0"/>
    <w:rsid w:val="00827B6F"/>
    <w:rsid w:val="00827C5B"/>
    <w:rsid w:val="00827DDF"/>
    <w:rsid w:val="00827F97"/>
    <w:rsid w:val="0083064A"/>
    <w:rsid w:val="00830733"/>
    <w:rsid w:val="00830AA9"/>
    <w:rsid w:val="00830BCB"/>
    <w:rsid w:val="00830BE5"/>
    <w:rsid w:val="00830D5D"/>
    <w:rsid w:val="00830D7A"/>
    <w:rsid w:val="0083101F"/>
    <w:rsid w:val="0083129D"/>
    <w:rsid w:val="008312FD"/>
    <w:rsid w:val="008314F0"/>
    <w:rsid w:val="00831810"/>
    <w:rsid w:val="00831C0E"/>
    <w:rsid w:val="00831CF4"/>
    <w:rsid w:val="00831E33"/>
    <w:rsid w:val="00832266"/>
    <w:rsid w:val="008324B1"/>
    <w:rsid w:val="00832529"/>
    <w:rsid w:val="00832704"/>
    <w:rsid w:val="008327F5"/>
    <w:rsid w:val="0083280A"/>
    <w:rsid w:val="00832833"/>
    <w:rsid w:val="0083290C"/>
    <w:rsid w:val="00832B1F"/>
    <w:rsid w:val="00833148"/>
    <w:rsid w:val="00833320"/>
    <w:rsid w:val="008336E6"/>
    <w:rsid w:val="008337C5"/>
    <w:rsid w:val="008338E0"/>
    <w:rsid w:val="00833CBC"/>
    <w:rsid w:val="00833FDE"/>
    <w:rsid w:val="00834299"/>
    <w:rsid w:val="008343A3"/>
    <w:rsid w:val="0083454B"/>
    <w:rsid w:val="00834947"/>
    <w:rsid w:val="00834C38"/>
    <w:rsid w:val="00834F71"/>
    <w:rsid w:val="00834F8A"/>
    <w:rsid w:val="00834F8B"/>
    <w:rsid w:val="00834FC3"/>
    <w:rsid w:val="00835426"/>
    <w:rsid w:val="0083542A"/>
    <w:rsid w:val="0083544D"/>
    <w:rsid w:val="00835673"/>
    <w:rsid w:val="0083578D"/>
    <w:rsid w:val="0083586C"/>
    <w:rsid w:val="00835978"/>
    <w:rsid w:val="008359C5"/>
    <w:rsid w:val="00835B0A"/>
    <w:rsid w:val="00835DBB"/>
    <w:rsid w:val="00835DDA"/>
    <w:rsid w:val="00835DF7"/>
    <w:rsid w:val="00835E46"/>
    <w:rsid w:val="00836412"/>
    <w:rsid w:val="00836442"/>
    <w:rsid w:val="008364F8"/>
    <w:rsid w:val="00836B9E"/>
    <w:rsid w:val="00836D71"/>
    <w:rsid w:val="00836DD5"/>
    <w:rsid w:val="008378BE"/>
    <w:rsid w:val="008378C8"/>
    <w:rsid w:val="00837E7C"/>
    <w:rsid w:val="00840191"/>
    <w:rsid w:val="00840426"/>
    <w:rsid w:val="008404B6"/>
    <w:rsid w:val="00840611"/>
    <w:rsid w:val="0084076E"/>
    <w:rsid w:val="008408F4"/>
    <w:rsid w:val="00840965"/>
    <w:rsid w:val="008409FB"/>
    <w:rsid w:val="00840C96"/>
    <w:rsid w:val="00840CBA"/>
    <w:rsid w:val="00840DF0"/>
    <w:rsid w:val="00840E6D"/>
    <w:rsid w:val="00841130"/>
    <w:rsid w:val="00841430"/>
    <w:rsid w:val="0084174A"/>
    <w:rsid w:val="0084174F"/>
    <w:rsid w:val="0084178A"/>
    <w:rsid w:val="00841876"/>
    <w:rsid w:val="00841C23"/>
    <w:rsid w:val="00841C89"/>
    <w:rsid w:val="00841D36"/>
    <w:rsid w:val="00841FA6"/>
    <w:rsid w:val="00842049"/>
    <w:rsid w:val="0084208E"/>
    <w:rsid w:val="0084212A"/>
    <w:rsid w:val="008421D6"/>
    <w:rsid w:val="008421E6"/>
    <w:rsid w:val="00842236"/>
    <w:rsid w:val="0084256F"/>
    <w:rsid w:val="008429DE"/>
    <w:rsid w:val="00843263"/>
    <w:rsid w:val="00843370"/>
    <w:rsid w:val="008433C2"/>
    <w:rsid w:val="00843463"/>
    <w:rsid w:val="00843673"/>
    <w:rsid w:val="00843743"/>
    <w:rsid w:val="0084381B"/>
    <w:rsid w:val="00843866"/>
    <w:rsid w:val="0084390D"/>
    <w:rsid w:val="00843B07"/>
    <w:rsid w:val="00843B2D"/>
    <w:rsid w:val="00844472"/>
    <w:rsid w:val="0084457F"/>
    <w:rsid w:val="0084466A"/>
    <w:rsid w:val="00844698"/>
    <w:rsid w:val="008447D7"/>
    <w:rsid w:val="0084486D"/>
    <w:rsid w:val="00844BEA"/>
    <w:rsid w:val="00844C07"/>
    <w:rsid w:val="00844DFF"/>
    <w:rsid w:val="00845032"/>
    <w:rsid w:val="0084514A"/>
    <w:rsid w:val="0084515D"/>
    <w:rsid w:val="00845191"/>
    <w:rsid w:val="0084580A"/>
    <w:rsid w:val="00845909"/>
    <w:rsid w:val="0084590E"/>
    <w:rsid w:val="00845CE2"/>
    <w:rsid w:val="00845F14"/>
    <w:rsid w:val="00845F8D"/>
    <w:rsid w:val="0084608F"/>
    <w:rsid w:val="00846120"/>
    <w:rsid w:val="00846455"/>
    <w:rsid w:val="008465A6"/>
    <w:rsid w:val="00846662"/>
    <w:rsid w:val="008467A4"/>
    <w:rsid w:val="008467D2"/>
    <w:rsid w:val="00846B0B"/>
    <w:rsid w:val="00846BB6"/>
    <w:rsid w:val="008470AF"/>
    <w:rsid w:val="0084750F"/>
    <w:rsid w:val="0084753E"/>
    <w:rsid w:val="00847672"/>
    <w:rsid w:val="00847D39"/>
    <w:rsid w:val="00847D7B"/>
    <w:rsid w:val="00847E2F"/>
    <w:rsid w:val="00847F64"/>
    <w:rsid w:val="0085006E"/>
    <w:rsid w:val="008500C5"/>
    <w:rsid w:val="008503CB"/>
    <w:rsid w:val="00850449"/>
    <w:rsid w:val="00850C62"/>
    <w:rsid w:val="00850EFD"/>
    <w:rsid w:val="0085112E"/>
    <w:rsid w:val="00851C69"/>
    <w:rsid w:val="00851DF7"/>
    <w:rsid w:val="00851EAA"/>
    <w:rsid w:val="00852100"/>
    <w:rsid w:val="00852176"/>
    <w:rsid w:val="0085230A"/>
    <w:rsid w:val="00852369"/>
    <w:rsid w:val="0085276C"/>
    <w:rsid w:val="00852808"/>
    <w:rsid w:val="008528DA"/>
    <w:rsid w:val="00852D65"/>
    <w:rsid w:val="008532B0"/>
    <w:rsid w:val="00853336"/>
    <w:rsid w:val="0085335E"/>
    <w:rsid w:val="008534A8"/>
    <w:rsid w:val="0085354E"/>
    <w:rsid w:val="0085361E"/>
    <w:rsid w:val="008536B7"/>
    <w:rsid w:val="00853A7F"/>
    <w:rsid w:val="00853BF8"/>
    <w:rsid w:val="008544DF"/>
    <w:rsid w:val="00854C63"/>
    <w:rsid w:val="00854D98"/>
    <w:rsid w:val="00854DA7"/>
    <w:rsid w:val="00854E1B"/>
    <w:rsid w:val="00854E87"/>
    <w:rsid w:val="00855036"/>
    <w:rsid w:val="00855345"/>
    <w:rsid w:val="0085539C"/>
    <w:rsid w:val="008554B1"/>
    <w:rsid w:val="008554BA"/>
    <w:rsid w:val="0085552F"/>
    <w:rsid w:val="008556BD"/>
    <w:rsid w:val="00855807"/>
    <w:rsid w:val="0085580C"/>
    <w:rsid w:val="00855982"/>
    <w:rsid w:val="00855C49"/>
    <w:rsid w:val="00855CB9"/>
    <w:rsid w:val="00856089"/>
    <w:rsid w:val="008560FF"/>
    <w:rsid w:val="008561E1"/>
    <w:rsid w:val="00856455"/>
    <w:rsid w:val="008564A5"/>
    <w:rsid w:val="008567B5"/>
    <w:rsid w:val="0085680C"/>
    <w:rsid w:val="008569E1"/>
    <w:rsid w:val="00856C09"/>
    <w:rsid w:val="00856FEF"/>
    <w:rsid w:val="00857014"/>
    <w:rsid w:val="008572FD"/>
    <w:rsid w:val="008573AB"/>
    <w:rsid w:val="008574B5"/>
    <w:rsid w:val="00857575"/>
    <w:rsid w:val="00857689"/>
    <w:rsid w:val="00857A23"/>
    <w:rsid w:val="00857AB7"/>
    <w:rsid w:val="008600D2"/>
    <w:rsid w:val="008600ED"/>
    <w:rsid w:val="008602C1"/>
    <w:rsid w:val="008602DD"/>
    <w:rsid w:val="00860617"/>
    <w:rsid w:val="00860728"/>
    <w:rsid w:val="008608BD"/>
    <w:rsid w:val="00860A10"/>
    <w:rsid w:val="00860BA9"/>
    <w:rsid w:val="00860BC6"/>
    <w:rsid w:val="00860C30"/>
    <w:rsid w:val="00860C7E"/>
    <w:rsid w:val="00860D6C"/>
    <w:rsid w:val="00860E41"/>
    <w:rsid w:val="00860E5B"/>
    <w:rsid w:val="00861148"/>
    <w:rsid w:val="008611BD"/>
    <w:rsid w:val="008611F6"/>
    <w:rsid w:val="008612D5"/>
    <w:rsid w:val="0086144A"/>
    <w:rsid w:val="008617AA"/>
    <w:rsid w:val="008618ED"/>
    <w:rsid w:val="00861D16"/>
    <w:rsid w:val="00861E5F"/>
    <w:rsid w:val="00861EC9"/>
    <w:rsid w:val="00862089"/>
    <w:rsid w:val="00862217"/>
    <w:rsid w:val="00862320"/>
    <w:rsid w:val="0086265D"/>
    <w:rsid w:val="00862752"/>
    <w:rsid w:val="008627C5"/>
    <w:rsid w:val="0086286A"/>
    <w:rsid w:val="008628AC"/>
    <w:rsid w:val="00862CCE"/>
    <w:rsid w:val="00862DFF"/>
    <w:rsid w:val="0086330A"/>
    <w:rsid w:val="008634E9"/>
    <w:rsid w:val="0086356D"/>
    <w:rsid w:val="00863646"/>
    <w:rsid w:val="00863769"/>
    <w:rsid w:val="0086381D"/>
    <w:rsid w:val="00863A78"/>
    <w:rsid w:val="00863C7B"/>
    <w:rsid w:val="00863E14"/>
    <w:rsid w:val="00863EF0"/>
    <w:rsid w:val="00863F86"/>
    <w:rsid w:val="008640EB"/>
    <w:rsid w:val="00864145"/>
    <w:rsid w:val="00864225"/>
    <w:rsid w:val="0086431F"/>
    <w:rsid w:val="0086434B"/>
    <w:rsid w:val="008644D1"/>
    <w:rsid w:val="00864549"/>
    <w:rsid w:val="008647AC"/>
    <w:rsid w:val="00864810"/>
    <w:rsid w:val="0086492A"/>
    <w:rsid w:val="00864A6B"/>
    <w:rsid w:val="00864ABE"/>
    <w:rsid w:val="0086502A"/>
    <w:rsid w:val="008652BB"/>
    <w:rsid w:val="0086554A"/>
    <w:rsid w:val="00865599"/>
    <w:rsid w:val="0086582E"/>
    <w:rsid w:val="008658A3"/>
    <w:rsid w:val="00865CB3"/>
    <w:rsid w:val="00865ECE"/>
    <w:rsid w:val="00866108"/>
    <w:rsid w:val="00866184"/>
    <w:rsid w:val="008663A1"/>
    <w:rsid w:val="00866437"/>
    <w:rsid w:val="008665E3"/>
    <w:rsid w:val="00866A61"/>
    <w:rsid w:val="00866AEE"/>
    <w:rsid w:val="00866CDA"/>
    <w:rsid w:val="00866DD5"/>
    <w:rsid w:val="00866E59"/>
    <w:rsid w:val="00866EE0"/>
    <w:rsid w:val="00866F8E"/>
    <w:rsid w:val="0086764F"/>
    <w:rsid w:val="00867B7A"/>
    <w:rsid w:val="00867B9F"/>
    <w:rsid w:val="00867D4D"/>
    <w:rsid w:val="00870058"/>
    <w:rsid w:val="00870149"/>
    <w:rsid w:val="00870492"/>
    <w:rsid w:val="0087059F"/>
    <w:rsid w:val="0087069A"/>
    <w:rsid w:val="0087083A"/>
    <w:rsid w:val="0087090C"/>
    <w:rsid w:val="00870914"/>
    <w:rsid w:val="00870A0A"/>
    <w:rsid w:val="00870C67"/>
    <w:rsid w:val="00870FDB"/>
    <w:rsid w:val="00871143"/>
    <w:rsid w:val="008711A0"/>
    <w:rsid w:val="008711B9"/>
    <w:rsid w:val="0087121F"/>
    <w:rsid w:val="00871536"/>
    <w:rsid w:val="008716F1"/>
    <w:rsid w:val="00871AD4"/>
    <w:rsid w:val="00871DC5"/>
    <w:rsid w:val="00871DD8"/>
    <w:rsid w:val="00871F29"/>
    <w:rsid w:val="00872143"/>
    <w:rsid w:val="008721B1"/>
    <w:rsid w:val="00872377"/>
    <w:rsid w:val="0087241B"/>
    <w:rsid w:val="00872483"/>
    <w:rsid w:val="008727C6"/>
    <w:rsid w:val="00872BB4"/>
    <w:rsid w:val="00872C50"/>
    <w:rsid w:val="00872E4E"/>
    <w:rsid w:val="00872F0F"/>
    <w:rsid w:val="00873180"/>
    <w:rsid w:val="00873486"/>
    <w:rsid w:val="008737BD"/>
    <w:rsid w:val="0087384C"/>
    <w:rsid w:val="00873C15"/>
    <w:rsid w:val="0087404C"/>
    <w:rsid w:val="008740D1"/>
    <w:rsid w:val="00874163"/>
    <w:rsid w:val="00874179"/>
    <w:rsid w:val="008742E9"/>
    <w:rsid w:val="008745C8"/>
    <w:rsid w:val="00874736"/>
    <w:rsid w:val="008747A4"/>
    <w:rsid w:val="008747D8"/>
    <w:rsid w:val="0087485B"/>
    <w:rsid w:val="0087488E"/>
    <w:rsid w:val="008749A4"/>
    <w:rsid w:val="00874B96"/>
    <w:rsid w:val="00874C36"/>
    <w:rsid w:val="00874CFC"/>
    <w:rsid w:val="00874EFB"/>
    <w:rsid w:val="00874F07"/>
    <w:rsid w:val="00874F8A"/>
    <w:rsid w:val="00875037"/>
    <w:rsid w:val="00875153"/>
    <w:rsid w:val="00875416"/>
    <w:rsid w:val="00875686"/>
    <w:rsid w:val="00875A08"/>
    <w:rsid w:val="00875A2E"/>
    <w:rsid w:val="00875B8B"/>
    <w:rsid w:val="00875B9F"/>
    <w:rsid w:val="00875BBD"/>
    <w:rsid w:val="00875C90"/>
    <w:rsid w:val="00875D41"/>
    <w:rsid w:val="00875EE1"/>
    <w:rsid w:val="00875F69"/>
    <w:rsid w:val="00875F98"/>
    <w:rsid w:val="00876079"/>
    <w:rsid w:val="00876091"/>
    <w:rsid w:val="00876127"/>
    <w:rsid w:val="0087617D"/>
    <w:rsid w:val="008763C2"/>
    <w:rsid w:val="00876482"/>
    <w:rsid w:val="00876606"/>
    <w:rsid w:val="00876764"/>
    <w:rsid w:val="0087677D"/>
    <w:rsid w:val="00876790"/>
    <w:rsid w:val="0087690A"/>
    <w:rsid w:val="008769C5"/>
    <w:rsid w:val="00876CEF"/>
    <w:rsid w:val="00876DD7"/>
    <w:rsid w:val="00876E7F"/>
    <w:rsid w:val="00876FE3"/>
    <w:rsid w:val="00877370"/>
    <w:rsid w:val="008775A6"/>
    <w:rsid w:val="00877741"/>
    <w:rsid w:val="008777FE"/>
    <w:rsid w:val="00877823"/>
    <w:rsid w:val="00877AA7"/>
    <w:rsid w:val="00877C49"/>
    <w:rsid w:val="00877CF1"/>
    <w:rsid w:val="00877DE9"/>
    <w:rsid w:val="00880038"/>
    <w:rsid w:val="00880153"/>
    <w:rsid w:val="00880351"/>
    <w:rsid w:val="0088066B"/>
    <w:rsid w:val="008809C0"/>
    <w:rsid w:val="00880AA2"/>
    <w:rsid w:val="00880AF4"/>
    <w:rsid w:val="00880BF9"/>
    <w:rsid w:val="00880CE9"/>
    <w:rsid w:val="00880D04"/>
    <w:rsid w:val="00880DDE"/>
    <w:rsid w:val="00880EF7"/>
    <w:rsid w:val="00881020"/>
    <w:rsid w:val="00881404"/>
    <w:rsid w:val="008815F5"/>
    <w:rsid w:val="008816E6"/>
    <w:rsid w:val="00881C1C"/>
    <w:rsid w:val="00881D62"/>
    <w:rsid w:val="00881D72"/>
    <w:rsid w:val="00881E07"/>
    <w:rsid w:val="0088206A"/>
    <w:rsid w:val="0088219E"/>
    <w:rsid w:val="00882355"/>
    <w:rsid w:val="008823A9"/>
    <w:rsid w:val="0088277C"/>
    <w:rsid w:val="00882783"/>
    <w:rsid w:val="008827EE"/>
    <w:rsid w:val="00882888"/>
    <w:rsid w:val="00882996"/>
    <w:rsid w:val="00882AFD"/>
    <w:rsid w:val="00882E04"/>
    <w:rsid w:val="00882F05"/>
    <w:rsid w:val="00882FDC"/>
    <w:rsid w:val="00883466"/>
    <w:rsid w:val="0088352C"/>
    <w:rsid w:val="00883672"/>
    <w:rsid w:val="0088369D"/>
    <w:rsid w:val="008836F4"/>
    <w:rsid w:val="00883818"/>
    <w:rsid w:val="00883CCA"/>
    <w:rsid w:val="00883CDB"/>
    <w:rsid w:val="00883E4A"/>
    <w:rsid w:val="0088400F"/>
    <w:rsid w:val="00884123"/>
    <w:rsid w:val="0088420E"/>
    <w:rsid w:val="00884375"/>
    <w:rsid w:val="008844AE"/>
    <w:rsid w:val="0088474C"/>
    <w:rsid w:val="008847E6"/>
    <w:rsid w:val="0088484F"/>
    <w:rsid w:val="00884A60"/>
    <w:rsid w:val="00884EA8"/>
    <w:rsid w:val="00884EF2"/>
    <w:rsid w:val="008854C5"/>
    <w:rsid w:val="008857A6"/>
    <w:rsid w:val="00885AD1"/>
    <w:rsid w:val="00885BCB"/>
    <w:rsid w:val="00885D63"/>
    <w:rsid w:val="00885F1E"/>
    <w:rsid w:val="00886191"/>
    <w:rsid w:val="008861BE"/>
    <w:rsid w:val="008862E0"/>
    <w:rsid w:val="0088653C"/>
    <w:rsid w:val="00886759"/>
    <w:rsid w:val="00886828"/>
    <w:rsid w:val="008869D0"/>
    <w:rsid w:val="00886D1B"/>
    <w:rsid w:val="00886E4A"/>
    <w:rsid w:val="00886F5A"/>
    <w:rsid w:val="00887048"/>
    <w:rsid w:val="008870AC"/>
    <w:rsid w:val="00887344"/>
    <w:rsid w:val="00887754"/>
    <w:rsid w:val="00887D9C"/>
    <w:rsid w:val="00887FEF"/>
    <w:rsid w:val="0089022A"/>
    <w:rsid w:val="008909C1"/>
    <w:rsid w:val="00890A58"/>
    <w:rsid w:val="00890A61"/>
    <w:rsid w:val="00890CA8"/>
    <w:rsid w:val="00890E2E"/>
    <w:rsid w:val="00891026"/>
    <w:rsid w:val="00891114"/>
    <w:rsid w:val="00891785"/>
    <w:rsid w:val="0089181F"/>
    <w:rsid w:val="008919F2"/>
    <w:rsid w:val="00891A6A"/>
    <w:rsid w:val="00891C9E"/>
    <w:rsid w:val="00891DD4"/>
    <w:rsid w:val="00891F03"/>
    <w:rsid w:val="00891FAE"/>
    <w:rsid w:val="00892011"/>
    <w:rsid w:val="0089207D"/>
    <w:rsid w:val="00892168"/>
    <w:rsid w:val="00892852"/>
    <w:rsid w:val="00892E47"/>
    <w:rsid w:val="00893014"/>
    <w:rsid w:val="00893222"/>
    <w:rsid w:val="008932AC"/>
    <w:rsid w:val="0089332E"/>
    <w:rsid w:val="008935E7"/>
    <w:rsid w:val="008937AE"/>
    <w:rsid w:val="00893890"/>
    <w:rsid w:val="0089389A"/>
    <w:rsid w:val="00893B44"/>
    <w:rsid w:val="00893BC9"/>
    <w:rsid w:val="00893F99"/>
    <w:rsid w:val="00894796"/>
    <w:rsid w:val="00894942"/>
    <w:rsid w:val="00894972"/>
    <w:rsid w:val="008949F3"/>
    <w:rsid w:val="00894D2B"/>
    <w:rsid w:val="00894DD6"/>
    <w:rsid w:val="00894E2B"/>
    <w:rsid w:val="00895074"/>
    <w:rsid w:val="00895086"/>
    <w:rsid w:val="0089526E"/>
    <w:rsid w:val="0089538B"/>
    <w:rsid w:val="0089538E"/>
    <w:rsid w:val="008953B1"/>
    <w:rsid w:val="00895520"/>
    <w:rsid w:val="008956F5"/>
    <w:rsid w:val="008958C6"/>
    <w:rsid w:val="008959FC"/>
    <w:rsid w:val="00895B2F"/>
    <w:rsid w:val="00895B49"/>
    <w:rsid w:val="00895C60"/>
    <w:rsid w:val="00895EE5"/>
    <w:rsid w:val="00896744"/>
    <w:rsid w:val="00896BF1"/>
    <w:rsid w:val="00896EC9"/>
    <w:rsid w:val="00896F0C"/>
    <w:rsid w:val="0089727B"/>
    <w:rsid w:val="008974E9"/>
    <w:rsid w:val="008976AA"/>
    <w:rsid w:val="0089775F"/>
    <w:rsid w:val="00897CFB"/>
    <w:rsid w:val="00897DDE"/>
    <w:rsid w:val="00897F5E"/>
    <w:rsid w:val="008A0633"/>
    <w:rsid w:val="008A064A"/>
    <w:rsid w:val="008A0674"/>
    <w:rsid w:val="008A07A7"/>
    <w:rsid w:val="008A086C"/>
    <w:rsid w:val="008A08EE"/>
    <w:rsid w:val="008A0A33"/>
    <w:rsid w:val="008A0B24"/>
    <w:rsid w:val="008A0D2B"/>
    <w:rsid w:val="008A0DD7"/>
    <w:rsid w:val="008A10E8"/>
    <w:rsid w:val="008A140A"/>
    <w:rsid w:val="008A141C"/>
    <w:rsid w:val="008A14EF"/>
    <w:rsid w:val="008A1653"/>
    <w:rsid w:val="008A165A"/>
    <w:rsid w:val="008A1DBD"/>
    <w:rsid w:val="008A1DF4"/>
    <w:rsid w:val="008A1F0C"/>
    <w:rsid w:val="008A2256"/>
    <w:rsid w:val="008A23FC"/>
    <w:rsid w:val="008A299C"/>
    <w:rsid w:val="008A29AE"/>
    <w:rsid w:val="008A29CE"/>
    <w:rsid w:val="008A2B90"/>
    <w:rsid w:val="008A2F33"/>
    <w:rsid w:val="008A32BD"/>
    <w:rsid w:val="008A3301"/>
    <w:rsid w:val="008A347A"/>
    <w:rsid w:val="008A34E1"/>
    <w:rsid w:val="008A354E"/>
    <w:rsid w:val="008A3A43"/>
    <w:rsid w:val="008A3CF6"/>
    <w:rsid w:val="008A3FB3"/>
    <w:rsid w:val="008A4065"/>
    <w:rsid w:val="008A4223"/>
    <w:rsid w:val="008A4377"/>
    <w:rsid w:val="008A43D6"/>
    <w:rsid w:val="008A455C"/>
    <w:rsid w:val="008A4C86"/>
    <w:rsid w:val="008A4CC7"/>
    <w:rsid w:val="008A4CF0"/>
    <w:rsid w:val="008A506D"/>
    <w:rsid w:val="008A5208"/>
    <w:rsid w:val="008A5466"/>
    <w:rsid w:val="008A54A0"/>
    <w:rsid w:val="008A54E7"/>
    <w:rsid w:val="008A5682"/>
    <w:rsid w:val="008A5A40"/>
    <w:rsid w:val="008A5BD4"/>
    <w:rsid w:val="008A5C8B"/>
    <w:rsid w:val="008A5CA2"/>
    <w:rsid w:val="008A5CC5"/>
    <w:rsid w:val="008A6297"/>
    <w:rsid w:val="008A62B0"/>
    <w:rsid w:val="008A6396"/>
    <w:rsid w:val="008A6491"/>
    <w:rsid w:val="008A651D"/>
    <w:rsid w:val="008A69A7"/>
    <w:rsid w:val="008A6A6C"/>
    <w:rsid w:val="008A6D32"/>
    <w:rsid w:val="008A76EF"/>
    <w:rsid w:val="008A7758"/>
    <w:rsid w:val="008A775E"/>
    <w:rsid w:val="008A791A"/>
    <w:rsid w:val="008A7A12"/>
    <w:rsid w:val="008A7A1A"/>
    <w:rsid w:val="008A7A8E"/>
    <w:rsid w:val="008A7ED8"/>
    <w:rsid w:val="008B0294"/>
    <w:rsid w:val="008B02B7"/>
    <w:rsid w:val="008B034C"/>
    <w:rsid w:val="008B056D"/>
    <w:rsid w:val="008B07EC"/>
    <w:rsid w:val="008B093E"/>
    <w:rsid w:val="008B0B60"/>
    <w:rsid w:val="008B0B89"/>
    <w:rsid w:val="008B0C19"/>
    <w:rsid w:val="008B0D19"/>
    <w:rsid w:val="008B0E52"/>
    <w:rsid w:val="008B1012"/>
    <w:rsid w:val="008B104F"/>
    <w:rsid w:val="008B1264"/>
    <w:rsid w:val="008B13A0"/>
    <w:rsid w:val="008B13E5"/>
    <w:rsid w:val="008B13E6"/>
    <w:rsid w:val="008B17A6"/>
    <w:rsid w:val="008B198D"/>
    <w:rsid w:val="008B1ABA"/>
    <w:rsid w:val="008B1E51"/>
    <w:rsid w:val="008B204C"/>
    <w:rsid w:val="008B2868"/>
    <w:rsid w:val="008B2DD2"/>
    <w:rsid w:val="008B2ECE"/>
    <w:rsid w:val="008B31CE"/>
    <w:rsid w:val="008B3681"/>
    <w:rsid w:val="008B3C2E"/>
    <w:rsid w:val="008B3CEF"/>
    <w:rsid w:val="008B3F25"/>
    <w:rsid w:val="008B3F93"/>
    <w:rsid w:val="008B4096"/>
    <w:rsid w:val="008B41A5"/>
    <w:rsid w:val="008B4325"/>
    <w:rsid w:val="008B4445"/>
    <w:rsid w:val="008B4605"/>
    <w:rsid w:val="008B466B"/>
    <w:rsid w:val="008B4779"/>
    <w:rsid w:val="008B49E7"/>
    <w:rsid w:val="008B4F67"/>
    <w:rsid w:val="008B506A"/>
    <w:rsid w:val="008B522D"/>
    <w:rsid w:val="008B53FD"/>
    <w:rsid w:val="008B5426"/>
    <w:rsid w:val="008B56E8"/>
    <w:rsid w:val="008B588C"/>
    <w:rsid w:val="008B5A6E"/>
    <w:rsid w:val="008B5A95"/>
    <w:rsid w:val="008B5E35"/>
    <w:rsid w:val="008B6056"/>
    <w:rsid w:val="008B61D9"/>
    <w:rsid w:val="008B62C6"/>
    <w:rsid w:val="008B6737"/>
    <w:rsid w:val="008B6874"/>
    <w:rsid w:val="008B6AB3"/>
    <w:rsid w:val="008B6AF2"/>
    <w:rsid w:val="008B6C2B"/>
    <w:rsid w:val="008B6D37"/>
    <w:rsid w:val="008B73D1"/>
    <w:rsid w:val="008B744D"/>
    <w:rsid w:val="008B74AA"/>
    <w:rsid w:val="008B77B4"/>
    <w:rsid w:val="008B7B70"/>
    <w:rsid w:val="008B7CAD"/>
    <w:rsid w:val="008B7E0C"/>
    <w:rsid w:val="008B7E19"/>
    <w:rsid w:val="008B7F59"/>
    <w:rsid w:val="008B7F9C"/>
    <w:rsid w:val="008C0012"/>
    <w:rsid w:val="008C012E"/>
    <w:rsid w:val="008C04A9"/>
    <w:rsid w:val="008C0621"/>
    <w:rsid w:val="008C0762"/>
    <w:rsid w:val="008C07F3"/>
    <w:rsid w:val="008C0869"/>
    <w:rsid w:val="008C0F44"/>
    <w:rsid w:val="008C1119"/>
    <w:rsid w:val="008C124C"/>
    <w:rsid w:val="008C14BC"/>
    <w:rsid w:val="008C1690"/>
    <w:rsid w:val="008C170C"/>
    <w:rsid w:val="008C1818"/>
    <w:rsid w:val="008C1ADA"/>
    <w:rsid w:val="008C1B54"/>
    <w:rsid w:val="008C1EA4"/>
    <w:rsid w:val="008C1F43"/>
    <w:rsid w:val="008C23D0"/>
    <w:rsid w:val="008C23DE"/>
    <w:rsid w:val="008C25B5"/>
    <w:rsid w:val="008C25D0"/>
    <w:rsid w:val="008C2BF0"/>
    <w:rsid w:val="008C2C5D"/>
    <w:rsid w:val="008C2EC7"/>
    <w:rsid w:val="008C31A7"/>
    <w:rsid w:val="008C3276"/>
    <w:rsid w:val="008C3AA6"/>
    <w:rsid w:val="008C3B7A"/>
    <w:rsid w:val="008C3BE6"/>
    <w:rsid w:val="008C3E78"/>
    <w:rsid w:val="008C44DA"/>
    <w:rsid w:val="008C4587"/>
    <w:rsid w:val="008C45DC"/>
    <w:rsid w:val="008C46F0"/>
    <w:rsid w:val="008C490B"/>
    <w:rsid w:val="008C4CC3"/>
    <w:rsid w:val="008C4CDD"/>
    <w:rsid w:val="008C4DE6"/>
    <w:rsid w:val="008C4ED7"/>
    <w:rsid w:val="008C4F4D"/>
    <w:rsid w:val="008C5211"/>
    <w:rsid w:val="008C5818"/>
    <w:rsid w:val="008C5950"/>
    <w:rsid w:val="008C5C3F"/>
    <w:rsid w:val="008C5D0E"/>
    <w:rsid w:val="008C6288"/>
    <w:rsid w:val="008C6362"/>
    <w:rsid w:val="008C66DF"/>
    <w:rsid w:val="008C6B49"/>
    <w:rsid w:val="008C6C4E"/>
    <w:rsid w:val="008C6E26"/>
    <w:rsid w:val="008C6F66"/>
    <w:rsid w:val="008C7061"/>
    <w:rsid w:val="008C70AA"/>
    <w:rsid w:val="008C7115"/>
    <w:rsid w:val="008C71AA"/>
    <w:rsid w:val="008C7318"/>
    <w:rsid w:val="008C7320"/>
    <w:rsid w:val="008C7519"/>
    <w:rsid w:val="008C773E"/>
    <w:rsid w:val="008C7809"/>
    <w:rsid w:val="008C7929"/>
    <w:rsid w:val="008C7C35"/>
    <w:rsid w:val="008C7D85"/>
    <w:rsid w:val="008C7FF2"/>
    <w:rsid w:val="008D00CD"/>
    <w:rsid w:val="008D0113"/>
    <w:rsid w:val="008D0662"/>
    <w:rsid w:val="008D0A34"/>
    <w:rsid w:val="008D125A"/>
    <w:rsid w:val="008D1304"/>
    <w:rsid w:val="008D15B6"/>
    <w:rsid w:val="008D1851"/>
    <w:rsid w:val="008D1DD1"/>
    <w:rsid w:val="008D1EF5"/>
    <w:rsid w:val="008D1F63"/>
    <w:rsid w:val="008D2045"/>
    <w:rsid w:val="008D21F6"/>
    <w:rsid w:val="008D274D"/>
    <w:rsid w:val="008D27AF"/>
    <w:rsid w:val="008D28DD"/>
    <w:rsid w:val="008D2B05"/>
    <w:rsid w:val="008D2C44"/>
    <w:rsid w:val="008D2CB5"/>
    <w:rsid w:val="008D2DE0"/>
    <w:rsid w:val="008D313C"/>
    <w:rsid w:val="008D3321"/>
    <w:rsid w:val="008D33A6"/>
    <w:rsid w:val="008D3761"/>
    <w:rsid w:val="008D3788"/>
    <w:rsid w:val="008D3B3A"/>
    <w:rsid w:val="008D3C1D"/>
    <w:rsid w:val="008D3D84"/>
    <w:rsid w:val="008D4282"/>
    <w:rsid w:val="008D42B5"/>
    <w:rsid w:val="008D4512"/>
    <w:rsid w:val="008D46EF"/>
    <w:rsid w:val="008D48ED"/>
    <w:rsid w:val="008D49A9"/>
    <w:rsid w:val="008D4B9D"/>
    <w:rsid w:val="008D4BC4"/>
    <w:rsid w:val="008D4D67"/>
    <w:rsid w:val="008D5019"/>
    <w:rsid w:val="008D53EF"/>
    <w:rsid w:val="008D588D"/>
    <w:rsid w:val="008D59F2"/>
    <w:rsid w:val="008D5C2B"/>
    <w:rsid w:val="008D5CAB"/>
    <w:rsid w:val="008D5D99"/>
    <w:rsid w:val="008D5E13"/>
    <w:rsid w:val="008D5F44"/>
    <w:rsid w:val="008D60AC"/>
    <w:rsid w:val="008D64DC"/>
    <w:rsid w:val="008D66AD"/>
    <w:rsid w:val="008D673F"/>
    <w:rsid w:val="008D675B"/>
    <w:rsid w:val="008D67B8"/>
    <w:rsid w:val="008D682F"/>
    <w:rsid w:val="008D6A6F"/>
    <w:rsid w:val="008D6AD2"/>
    <w:rsid w:val="008D6D21"/>
    <w:rsid w:val="008D6F1D"/>
    <w:rsid w:val="008D70E8"/>
    <w:rsid w:val="008D7132"/>
    <w:rsid w:val="008D7295"/>
    <w:rsid w:val="008D74BB"/>
    <w:rsid w:val="008D76A8"/>
    <w:rsid w:val="008D779B"/>
    <w:rsid w:val="008D79CE"/>
    <w:rsid w:val="008D79D8"/>
    <w:rsid w:val="008D79FD"/>
    <w:rsid w:val="008D7B40"/>
    <w:rsid w:val="008D7D48"/>
    <w:rsid w:val="008D7F43"/>
    <w:rsid w:val="008E0148"/>
    <w:rsid w:val="008E0243"/>
    <w:rsid w:val="008E05BE"/>
    <w:rsid w:val="008E077A"/>
    <w:rsid w:val="008E0830"/>
    <w:rsid w:val="008E084A"/>
    <w:rsid w:val="008E08C9"/>
    <w:rsid w:val="008E0B26"/>
    <w:rsid w:val="008E0B32"/>
    <w:rsid w:val="008E0BC9"/>
    <w:rsid w:val="008E0D6E"/>
    <w:rsid w:val="008E0DFB"/>
    <w:rsid w:val="008E10FC"/>
    <w:rsid w:val="008E1254"/>
    <w:rsid w:val="008E13B6"/>
    <w:rsid w:val="008E13E9"/>
    <w:rsid w:val="008E14CF"/>
    <w:rsid w:val="008E1544"/>
    <w:rsid w:val="008E18FD"/>
    <w:rsid w:val="008E19AF"/>
    <w:rsid w:val="008E1B41"/>
    <w:rsid w:val="008E1D33"/>
    <w:rsid w:val="008E1D38"/>
    <w:rsid w:val="008E2762"/>
    <w:rsid w:val="008E2B38"/>
    <w:rsid w:val="008E2B91"/>
    <w:rsid w:val="008E2E49"/>
    <w:rsid w:val="008E2E77"/>
    <w:rsid w:val="008E2E84"/>
    <w:rsid w:val="008E2ED4"/>
    <w:rsid w:val="008E343B"/>
    <w:rsid w:val="008E3603"/>
    <w:rsid w:val="008E36F0"/>
    <w:rsid w:val="008E3856"/>
    <w:rsid w:val="008E385C"/>
    <w:rsid w:val="008E3CC1"/>
    <w:rsid w:val="008E4068"/>
    <w:rsid w:val="008E4176"/>
    <w:rsid w:val="008E41F3"/>
    <w:rsid w:val="008E42AC"/>
    <w:rsid w:val="008E431F"/>
    <w:rsid w:val="008E4341"/>
    <w:rsid w:val="008E4387"/>
    <w:rsid w:val="008E451D"/>
    <w:rsid w:val="008E492B"/>
    <w:rsid w:val="008E4932"/>
    <w:rsid w:val="008E4A7F"/>
    <w:rsid w:val="008E4BD2"/>
    <w:rsid w:val="008E4D61"/>
    <w:rsid w:val="008E4D71"/>
    <w:rsid w:val="008E4EFC"/>
    <w:rsid w:val="008E5013"/>
    <w:rsid w:val="008E50BF"/>
    <w:rsid w:val="008E517F"/>
    <w:rsid w:val="008E5218"/>
    <w:rsid w:val="008E5511"/>
    <w:rsid w:val="008E5829"/>
    <w:rsid w:val="008E5A97"/>
    <w:rsid w:val="008E5FA2"/>
    <w:rsid w:val="008E61A2"/>
    <w:rsid w:val="008E66D2"/>
    <w:rsid w:val="008E67CE"/>
    <w:rsid w:val="008E6804"/>
    <w:rsid w:val="008E6918"/>
    <w:rsid w:val="008E6A2C"/>
    <w:rsid w:val="008E6A7F"/>
    <w:rsid w:val="008E6B1C"/>
    <w:rsid w:val="008E6CAE"/>
    <w:rsid w:val="008E6E75"/>
    <w:rsid w:val="008E72BC"/>
    <w:rsid w:val="008E7340"/>
    <w:rsid w:val="008E7664"/>
    <w:rsid w:val="008E77E8"/>
    <w:rsid w:val="008E79DA"/>
    <w:rsid w:val="008E7A44"/>
    <w:rsid w:val="008E7AD5"/>
    <w:rsid w:val="008E7C58"/>
    <w:rsid w:val="008E7C60"/>
    <w:rsid w:val="008E7CDD"/>
    <w:rsid w:val="008E7E64"/>
    <w:rsid w:val="008E7EA9"/>
    <w:rsid w:val="008F0043"/>
    <w:rsid w:val="008F01E4"/>
    <w:rsid w:val="008F03E4"/>
    <w:rsid w:val="008F06D5"/>
    <w:rsid w:val="008F0967"/>
    <w:rsid w:val="008F0CF9"/>
    <w:rsid w:val="008F0DFB"/>
    <w:rsid w:val="008F0F8E"/>
    <w:rsid w:val="008F118F"/>
    <w:rsid w:val="008F1395"/>
    <w:rsid w:val="008F1482"/>
    <w:rsid w:val="008F1550"/>
    <w:rsid w:val="008F160E"/>
    <w:rsid w:val="008F1B90"/>
    <w:rsid w:val="008F1C3B"/>
    <w:rsid w:val="008F1CE7"/>
    <w:rsid w:val="008F2207"/>
    <w:rsid w:val="008F2388"/>
    <w:rsid w:val="008F2494"/>
    <w:rsid w:val="008F2811"/>
    <w:rsid w:val="008F2900"/>
    <w:rsid w:val="008F294B"/>
    <w:rsid w:val="008F2BB5"/>
    <w:rsid w:val="008F2BD3"/>
    <w:rsid w:val="008F2D9D"/>
    <w:rsid w:val="008F2FEA"/>
    <w:rsid w:val="008F32C2"/>
    <w:rsid w:val="008F352D"/>
    <w:rsid w:val="008F356E"/>
    <w:rsid w:val="008F36FA"/>
    <w:rsid w:val="008F3853"/>
    <w:rsid w:val="008F407A"/>
    <w:rsid w:val="008F4181"/>
    <w:rsid w:val="008F42FC"/>
    <w:rsid w:val="008F4497"/>
    <w:rsid w:val="008F453A"/>
    <w:rsid w:val="008F491E"/>
    <w:rsid w:val="008F5150"/>
    <w:rsid w:val="008F53AE"/>
    <w:rsid w:val="008F53C2"/>
    <w:rsid w:val="008F53C5"/>
    <w:rsid w:val="008F547B"/>
    <w:rsid w:val="008F5579"/>
    <w:rsid w:val="008F57B0"/>
    <w:rsid w:val="008F5985"/>
    <w:rsid w:val="008F59B0"/>
    <w:rsid w:val="008F5A05"/>
    <w:rsid w:val="008F5A6C"/>
    <w:rsid w:val="008F5D5C"/>
    <w:rsid w:val="008F5F88"/>
    <w:rsid w:val="008F5F98"/>
    <w:rsid w:val="008F6009"/>
    <w:rsid w:val="008F6256"/>
    <w:rsid w:val="008F6313"/>
    <w:rsid w:val="008F6390"/>
    <w:rsid w:val="008F63ED"/>
    <w:rsid w:val="008F6752"/>
    <w:rsid w:val="008F679B"/>
    <w:rsid w:val="008F67B2"/>
    <w:rsid w:val="008F6899"/>
    <w:rsid w:val="008F6CAE"/>
    <w:rsid w:val="008F6EB5"/>
    <w:rsid w:val="008F6EEA"/>
    <w:rsid w:val="008F7087"/>
    <w:rsid w:val="008F72E7"/>
    <w:rsid w:val="008F77C9"/>
    <w:rsid w:val="008F7A87"/>
    <w:rsid w:val="008F7EE5"/>
    <w:rsid w:val="00900098"/>
    <w:rsid w:val="0090036C"/>
    <w:rsid w:val="0090056C"/>
    <w:rsid w:val="00900573"/>
    <w:rsid w:val="009005B5"/>
    <w:rsid w:val="009008A2"/>
    <w:rsid w:val="00900AE4"/>
    <w:rsid w:val="00900C54"/>
    <w:rsid w:val="00900F9F"/>
    <w:rsid w:val="00901092"/>
    <w:rsid w:val="0090137B"/>
    <w:rsid w:val="009013DD"/>
    <w:rsid w:val="00901A2F"/>
    <w:rsid w:val="00901EBC"/>
    <w:rsid w:val="00901FE0"/>
    <w:rsid w:val="009022F8"/>
    <w:rsid w:val="00902407"/>
    <w:rsid w:val="00902565"/>
    <w:rsid w:val="009025D9"/>
    <w:rsid w:val="009026EB"/>
    <w:rsid w:val="00902701"/>
    <w:rsid w:val="00902C28"/>
    <w:rsid w:val="00903120"/>
    <w:rsid w:val="0090319D"/>
    <w:rsid w:val="009032A1"/>
    <w:rsid w:val="00903414"/>
    <w:rsid w:val="00903795"/>
    <w:rsid w:val="0090382D"/>
    <w:rsid w:val="00903834"/>
    <w:rsid w:val="0090384C"/>
    <w:rsid w:val="00903865"/>
    <w:rsid w:val="00903951"/>
    <w:rsid w:val="00903975"/>
    <w:rsid w:val="00903A90"/>
    <w:rsid w:val="00903D29"/>
    <w:rsid w:val="00903D8A"/>
    <w:rsid w:val="00903DD0"/>
    <w:rsid w:val="009041FF"/>
    <w:rsid w:val="009045E8"/>
    <w:rsid w:val="00904678"/>
    <w:rsid w:val="009046B9"/>
    <w:rsid w:val="009048E7"/>
    <w:rsid w:val="00904F29"/>
    <w:rsid w:val="00904F50"/>
    <w:rsid w:val="00905027"/>
    <w:rsid w:val="00905032"/>
    <w:rsid w:val="009050C0"/>
    <w:rsid w:val="009054B7"/>
    <w:rsid w:val="00905554"/>
    <w:rsid w:val="00905611"/>
    <w:rsid w:val="009058B1"/>
    <w:rsid w:val="00905A2A"/>
    <w:rsid w:val="00905A87"/>
    <w:rsid w:val="00905F50"/>
    <w:rsid w:val="0090608B"/>
    <w:rsid w:val="0090619F"/>
    <w:rsid w:val="009064F4"/>
    <w:rsid w:val="0090668C"/>
    <w:rsid w:val="0090674D"/>
    <w:rsid w:val="00906B57"/>
    <w:rsid w:val="00906DC0"/>
    <w:rsid w:val="00907124"/>
    <w:rsid w:val="0090712B"/>
    <w:rsid w:val="009074C2"/>
    <w:rsid w:val="009078A1"/>
    <w:rsid w:val="00907DB0"/>
    <w:rsid w:val="00907E50"/>
    <w:rsid w:val="00907E8F"/>
    <w:rsid w:val="00907F03"/>
    <w:rsid w:val="00910345"/>
    <w:rsid w:val="00910619"/>
    <w:rsid w:val="009107B4"/>
    <w:rsid w:val="00910874"/>
    <w:rsid w:val="00910998"/>
    <w:rsid w:val="00910AF3"/>
    <w:rsid w:val="00910B14"/>
    <w:rsid w:val="00910D30"/>
    <w:rsid w:val="00910E6A"/>
    <w:rsid w:val="00910EFF"/>
    <w:rsid w:val="00910F61"/>
    <w:rsid w:val="00910F8E"/>
    <w:rsid w:val="009112BE"/>
    <w:rsid w:val="00911358"/>
    <w:rsid w:val="009117D4"/>
    <w:rsid w:val="00911885"/>
    <w:rsid w:val="00911A2D"/>
    <w:rsid w:val="00911AA4"/>
    <w:rsid w:val="00911D95"/>
    <w:rsid w:val="00911F0D"/>
    <w:rsid w:val="0091219B"/>
    <w:rsid w:val="0091241C"/>
    <w:rsid w:val="0091259F"/>
    <w:rsid w:val="009125FE"/>
    <w:rsid w:val="0091263E"/>
    <w:rsid w:val="00912687"/>
    <w:rsid w:val="009126D2"/>
    <w:rsid w:val="009127FD"/>
    <w:rsid w:val="00912A7D"/>
    <w:rsid w:val="00912BCC"/>
    <w:rsid w:val="00912D4C"/>
    <w:rsid w:val="00912F0B"/>
    <w:rsid w:val="00913074"/>
    <w:rsid w:val="00913122"/>
    <w:rsid w:val="00913251"/>
    <w:rsid w:val="009135F3"/>
    <w:rsid w:val="00913699"/>
    <w:rsid w:val="00913E96"/>
    <w:rsid w:val="00914160"/>
    <w:rsid w:val="009141CD"/>
    <w:rsid w:val="00914456"/>
    <w:rsid w:val="009144C3"/>
    <w:rsid w:val="0091451D"/>
    <w:rsid w:val="009146FB"/>
    <w:rsid w:val="009147F4"/>
    <w:rsid w:val="00914BB1"/>
    <w:rsid w:val="00914C49"/>
    <w:rsid w:val="00914D89"/>
    <w:rsid w:val="00914E7B"/>
    <w:rsid w:val="00914ED2"/>
    <w:rsid w:val="00915428"/>
    <w:rsid w:val="009157C3"/>
    <w:rsid w:val="00915972"/>
    <w:rsid w:val="00915981"/>
    <w:rsid w:val="00915A8E"/>
    <w:rsid w:val="009160EB"/>
    <w:rsid w:val="009161ED"/>
    <w:rsid w:val="00916471"/>
    <w:rsid w:val="00916533"/>
    <w:rsid w:val="009165EC"/>
    <w:rsid w:val="00916721"/>
    <w:rsid w:val="00916BFC"/>
    <w:rsid w:val="00916DCD"/>
    <w:rsid w:val="00916F61"/>
    <w:rsid w:val="009171D7"/>
    <w:rsid w:val="009171E8"/>
    <w:rsid w:val="0091723D"/>
    <w:rsid w:val="009172C4"/>
    <w:rsid w:val="00917682"/>
    <w:rsid w:val="00917731"/>
    <w:rsid w:val="009177C0"/>
    <w:rsid w:val="0091782B"/>
    <w:rsid w:val="00917932"/>
    <w:rsid w:val="00917AF1"/>
    <w:rsid w:val="00917B33"/>
    <w:rsid w:val="00917DB1"/>
    <w:rsid w:val="0092046A"/>
    <w:rsid w:val="009206E6"/>
    <w:rsid w:val="009208E1"/>
    <w:rsid w:val="00920A54"/>
    <w:rsid w:val="00920B95"/>
    <w:rsid w:val="00920DEF"/>
    <w:rsid w:val="00920EA3"/>
    <w:rsid w:val="0092111C"/>
    <w:rsid w:val="0092174F"/>
    <w:rsid w:val="00921813"/>
    <w:rsid w:val="00921BCA"/>
    <w:rsid w:val="00921C49"/>
    <w:rsid w:val="00921FE6"/>
    <w:rsid w:val="00922119"/>
    <w:rsid w:val="0092212D"/>
    <w:rsid w:val="0092225A"/>
    <w:rsid w:val="009222C1"/>
    <w:rsid w:val="00922A30"/>
    <w:rsid w:val="00922AEE"/>
    <w:rsid w:val="00922E46"/>
    <w:rsid w:val="00922F26"/>
    <w:rsid w:val="009230CE"/>
    <w:rsid w:val="009230D3"/>
    <w:rsid w:val="009230D7"/>
    <w:rsid w:val="009231ED"/>
    <w:rsid w:val="0092354A"/>
    <w:rsid w:val="00923712"/>
    <w:rsid w:val="00923862"/>
    <w:rsid w:val="0092396E"/>
    <w:rsid w:val="00923B31"/>
    <w:rsid w:val="00923CF5"/>
    <w:rsid w:val="00923FE1"/>
    <w:rsid w:val="0092410A"/>
    <w:rsid w:val="009242BC"/>
    <w:rsid w:val="00924462"/>
    <w:rsid w:val="0092454F"/>
    <w:rsid w:val="00924A00"/>
    <w:rsid w:val="00924A75"/>
    <w:rsid w:val="00924B74"/>
    <w:rsid w:val="00924FE6"/>
    <w:rsid w:val="00925071"/>
    <w:rsid w:val="009252EC"/>
    <w:rsid w:val="0092535E"/>
    <w:rsid w:val="009254C7"/>
    <w:rsid w:val="00925584"/>
    <w:rsid w:val="00925774"/>
    <w:rsid w:val="0092583A"/>
    <w:rsid w:val="009258E5"/>
    <w:rsid w:val="00925904"/>
    <w:rsid w:val="00925967"/>
    <w:rsid w:val="009259A7"/>
    <w:rsid w:val="009259E5"/>
    <w:rsid w:val="00925A11"/>
    <w:rsid w:val="00925A8A"/>
    <w:rsid w:val="00925F5B"/>
    <w:rsid w:val="00926198"/>
    <w:rsid w:val="00926443"/>
    <w:rsid w:val="009264C2"/>
    <w:rsid w:val="00926675"/>
    <w:rsid w:val="00926685"/>
    <w:rsid w:val="00926785"/>
    <w:rsid w:val="009268E2"/>
    <w:rsid w:val="00926A5E"/>
    <w:rsid w:val="00926B39"/>
    <w:rsid w:val="00926D7F"/>
    <w:rsid w:val="00927268"/>
    <w:rsid w:val="00927318"/>
    <w:rsid w:val="009274BD"/>
    <w:rsid w:val="009274FB"/>
    <w:rsid w:val="0092780D"/>
    <w:rsid w:val="00927A00"/>
    <w:rsid w:val="00927CEB"/>
    <w:rsid w:val="00927D3D"/>
    <w:rsid w:val="00927D46"/>
    <w:rsid w:val="00927DE5"/>
    <w:rsid w:val="00927E83"/>
    <w:rsid w:val="009302E2"/>
    <w:rsid w:val="00930373"/>
    <w:rsid w:val="0093077F"/>
    <w:rsid w:val="0093083E"/>
    <w:rsid w:val="0093086A"/>
    <w:rsid w:val="009309DB"/>
    <w:rsid w:val="00930B6D"/>
    <w:rsid w:val="00930BD0"/>
    <w:rsid w:val="00930DA0"/>
    <w:rsid w:val="00931124"/>
    <w:rsid w:val="00931297"/>
    <w:rsid w:val="009312A1"/>
    <w:rsid w:val="009312D6"/>
    <w:rsid w:val="00931307"/>
    <w:rsid w:val="00931575"/>
    <w:rsid w:val="0093166C"/>
    <w:rsid w:val="00931D4B"/>
    <w:rsid w:val="00931E70"/>
    <w:rsid w:val="00932147"/>
    <w:rsid w:val="0093224E"/>
    <w:rsid w:val="0093273E"/>
    <w:rsid w:val="00932C20"/>
    <w:rsid w:val="00932CC1"/>
    <w:rsid w:val="00932E5C"/>
    <w:rsid w:val="00932FAD"/>
    <w:rsid w:val="00932FEC"/>
    <w:rsid w:val="009330D8"/>
    <w:rsid w:val="00933166"/>
    <w:rsid w:val="009332AA"/>
    <w:rsid w:val="00933411"/>
    <w:rsid w:val="00933478"/>
    <w:rsid w:val="0093394F"/>
    <w:rsid w:val="00933C64"/>
    <w:rsid w:val="00933DA9"/>
    <w:rsid w:val="00933F83"/>
    <w:rsid w:val="00934241"/>
    <w:rsid w:val="00934303"/>
    <w:rsid w:val="00934401"/>
    <w:rsid w:val="00934483"/>
    <w:rsid w:val="00934815"/>
    <w:rsid w:val="00934C6D"/>
    <w:rsid w:val="00934CB6"/>
    <w:rsid w:val="00934D26"/>
    <w:rsid w:val="00934E48"/>
    <w:rsid w:val="00934E73"/>
    <w:rsid w:val="00934EF7"/>
    <w:rsid w:val="0093519D"/>
    <w:rsid w:val="009352E5"/>
    <w:rsid w:val="00935514"/>
    <w:rsid w:val="0093585E"/>
    <w:rsid w:val="00935937"/>
    <w:rsid w:val="009359F7"/>
    <w:rsid w:val="00935A47"/>
    <w:rsid w:val="00935B94"/>
    <w:rsid w:val="00935CE6"/>
    <w:rsid w:val="00935E34"/>
    <w:rsid w:val="00935EDD"/>
    <w:rsid w:val="00936335"/>
    <w:rsid w:val="00936580"/>
    <w:rsid w:val="00936B46"/>
    <w:rsid w:val="00936B74"/>
    <w:rsid w:val="00936F44"/>
    <w:rsid w:val="00936FE0"/>
    <w:rsid w:val="0093746F"/>
    <w:rsid w:val="009375EB"/>
    <w:rsid w:val="0093761F"/>
    <w:rsid w:val="0093763A"/>
    <w:rsid w:val="009376DD"/>
    <w:rsid w:val="009378BC"/>
    <w:rsid w:val="00937B62"/>
    <w:rsid w:val="00937D4C"/>
    <w:rsid w:val="009402AA"/>
    <w:rsid w:val="009402F3"/>
    <w:rsid w:val="00940389"/>
    <w:rsid w:val="00940669"/>
    <w:rsid w:val="00940699"/>
    <w:rsid w:val="00940840"/>
    <w:rsid w:val="009409AF"/>
    <w:rsid w:val="00940C00"/>
    <w:rsid w:val="00940F4E"/>
    <w:rsid w:val="00940FC4"/>
    <w:rsid w:val="009410AF"/>
    <w:rsid w:val="009412D4"/>
    <w:rsid w:val="009414F3"/>
    <w:rsid w:val="009418C1"/>
    <w:rsid w:val="009419B9"/>
    <w:rsid w:val="00941FF2"/>
    <w:rsid w:val="00942264"/>
    <w:rsid w:val="0094238E"/>
    <w:rsid w:val="009425A6"/>
    <w:rsid w:val="009427E6"/>
    <w:rsid w:val="009429A1"/>
    <w:rsid w:val="00942BAE"/>
    <w:rsid w:val="00942BE8"/>
    <w:rsid w:val="00942C55"/>
    <w:rsid w:val="00942DEA"/>
    <w:rsid w:val="00942DF5"/>
    <w:rsid w:val="00942E06"/>
    <w:rsid w:val="00942EAB"/>
    <w:rsid w:val="00942F54"/>
    <w:rsid w:val="00943181"/>
    <w:rsid w:val="0094324F"/>
    <w:rsid w:val="0094361A"/>
    <w:rsid w:val="0094366C"/>
    <w:rsid w:val="009436B7"/>
    <w:rsid w:val="009438A5"/>
    <w:rsid w:val="00943976"/>
    <w:rsid w:val="009439B6"/>
    <w:rsid w:val="009439BB"/>
    <w:rsid w:val="00943BDE"/>
    <w:rsid w:val="0094409D"/>
    <w:rsid w:val="009440CE"/>
    <w:rsid w:val="00944152"/>
    <w:rsid w:val="0094420E"/>
    <w:rsid w:val="0094423A"/>
    <w:rsid w:val="00944395"/>
    <w:rsid w:val="009446C6"/>
    <w:rsid w:val="009446F5"/>
    <w:rsid w:val="00944A9F"/>
    <w:rsid w:val="00944B9E"/>
    <w:rsid w:val="00944C5A"/>
    <w:rsid w:val="00944E75"/>
    <w:rsid w:val="00944F9C"/>
    <w:rsid w:val="0094505A"/>
    <w:rsid w:val="009450FB"/>
    <w:rsid w:val="00945252"/>
    <w:rsid w:val="009454B2"/>
    <w:rsid w:val="009456B5"/>
    <w:rsid w:val="0094581F"/>
    <w:rsid w:val="00945ACA"/>
    <w:rsid w:val="00945D7A"/>
    <w:rsid w:val="00945E82"/>
    <w:rsid w:val="00946238"/>
    <w:rsid w:val="00946402"/>
    <w:rsid w:val="00946419"/>
    <w:rsid w:val="009467D2"/>
    <w:rsid w:val="00946B3C"/>
    <w:rsid w:val="00946C85"/>
    <w:rsid w:val="00946E44"/>
    <w:rsid w:val="00946F90"/>
    <w:rsid w:val="009473AF"/>
    <w:rsid w:val="0094775C"/>
    <w:rsid w:val="00947BEA"/>
    <w:rsid w:val="00947C83"/>
    <w:rsid w:val="00947CC8"/>
    <w:rsid w:val="00947F27"/>
    <w:rsid w:val="00950346"/>
    <w:rsid w:val="009506A3"/>
    <w:rsid w:val="0095080B"/>
    <w:rsid w:val="00950858"/>
    <w:rsid w:val="0095095D"/>
    <w:rsid w:val="00950A51"/>
    <w:rsid w:val="00950E99"/>
    <w:rsid w:val="00950EE0"/>
    <w:rsid w:val="00951386"/>
    <w:rsid w:val="0095150F"/>
    <w:rsid w:val="0095163F"/>
    <w:rsid w:val="009518AB"/>
    <w:rsid w:val="00951914"/>
    <w:rsid w:val="00951A41"/>
    <w:rsid w:val="00951BC1"/>
    <w:rsid w:val="00951FA9"/>
    <w:rsid w:val="0095210B"/>
    <w:rsid w:val="00952114"/>
    <w:rsid w:val="00952510"/>
    <w:rsid w:val="0095272A"/>
    <w:rsid w:val="009527C7"/>
    <w:rsid w:val="00952958"/>
    <w:rsid w:val="00952CAB"/>
    <w:rsid w:val="00952F7C"/>
    <w:rsid w:val="00953889"/>
    <w:rsid w:val="009539B7"/>
    <w:rsid w:val="009539CC"/>
    <w:rsid w:val="00953BA1"/>
    <w:rsid w:val="00953F00"/>
    <w:rsid w:val="00953F57"/>
    <w:rsid w:val="00953F68"/>
    <w:rsid w:val="009541B4"/>
    <w:rsid w:val="009541D9"/>
    <w:rsid w:val="00954367"/>
    <w:rsid w:val="00954552"/>
    <w:rsid w:val="009547AF"/>
    <w:rsid w:val="0095490B"/>
    <w:rsid w:val="00954C14"/>
    <w:rsid w:val="00954C7C"/>
    <w:rsid w:val="00954F92"/>
    <w:rsid w:val="00955043"/>
    <w:rsid w:val="009551E7"/>
    <w:rsid w:val="009551F4"/>
    <w:rsid w:val="0095525A"/>
    <w:rsid w:val="009552EB"/>
    <w:rsid w:val="009552EE"/>
    <w:rsid w:val="0095533F"/>
    <w:rsid w:val="00955776"/>
    <w:rsid w:val="00955A73"/>
    <w:rsid w:val="00955D50"/>
    <w:rsid w:val="00955E79"/>
    <w:rsid w:val="009561AB"/>
    <w:rsid w:val="0095675C"/>
    <w:rsid w:val="00956992"/>
    <w:rsid w:val="00956B52"/>
    <w:rsid w:val="00956CB8"/>
    <w:rsid w:val="00956E8D"/>
    <w:rsid w:val="00956EEF"/>
    <w:rsid w:val="00956FCD"/>
    <w:rsid w:val="00957019"/>
    <w:rsid w:val="0095729B"/>
    <w:rsid w:val="009576F8"/>
    <w:rsid w:val="00957DD0"/>
    <w:rsid w:val="00957DFF"/>
    <w:rsid w:val="009602B7"/>
    <w:rsid w:val="00960365"/>
    <w:rsid w:val="009603DC"/>
    <w:rsid w:val="00960650"/>
    <w:rsid w:val="00960675"/>
    <w:rsid w:val="00960798"/>
    <w:rsid w:val="009609A9"/>
    <w:rsid w:val="00960B55"/>
    <w:rsid w:val="00960CCD"/>
    <w:rsid w:val="00960D34"/>
    <w:rsid w:val="00960DAB"/>
    <w:rsid w:val="00960EE6"/>
    <w:rsid w:val="009610A8"/>
    <w:rsid w:val="009610DD"/>
    <w:rsid w:val="00961153"/>
    <w:rsid w:val="00961279"/>
    <w:rsid w:val="009613C9"/>
    <w:rsid w:val="009614C2"/>
    <w:rsid w:val="00961549"/>
    <w:rsid w:val="009617F8"/>
    <w:rsid w:val="009619C3"/>
    <w:rsid w:val="00961A63"/>
    <w:rsid w:val="00961B54"/>
    <w:rsid w:val="00961EAE"/>
    <w:rsid w:val="00961F1E"/>
    <w:rsid w:val="00961FD8"/>
    <w:rsid w:val="0096207A"/>
    <w:rsid w:val="009621D9"/>
    <w:rsid w:val="0096235E"/>
    <w:rsid w:val="009625C9"/>
    <w:rsid w:val="0096264A"/>
    <w:rsid w:val="009627F4"/>
    <w:rsid w:val="00962829"/>
    <w:rsid w:val="00962854"/>
    <w:rsid w:val="00962A7A"/>
    <w:rsid w:val="00962AA6"/>
    <w:rsid w:val="00962C26"/>
    <w:rsid w:val="00962DE7"/>
    <w:rsid w:val="0096335B"/>
    <w:rsid w:val="00963673"/>
    <w:rsid w:val="00963734"/>
    <w:rsid w:val="00963774"/>
    <w:rsid w:val="0096386F"/>
    <w:rsid w:val="00963945"/>
    <w:rsid w:val="00963E5E"/>
    <w:rsid w:val="00963F22"/>
    <w:rsid w:val="00964381"/>
    <w:rsid w:val="00964495"/>
    <w:rsid w:val="009646C0"/>
    <w:rsid w:val="0096473A"/>
    <w:rsid w:val="00964A0D"/>
    <w:rsid w:val="00964AE8"/>
    <w:rsid w:val="00964B53"/>
    <w:rsid w:val="00964B7F"/>
    <w:rsid w:val="00964C69"/>
    <w:rsid w:val="00964CF6"/>
    <w:rsid w:val="00964E42"/>
    <w:rsid w:val="00964FA2"/>
    <w:rsid w:val="00964FC3"/>
    <w:rsid w:val="00965462"/>
    <w:rsid w:val="0096560F"/>
    <w:rsid w:val="009656E2"/>
    <w:rsid w:val="00965884"/>
    <w:rsid w:val="00965A21"/>
    <w:rsid w:val="00965AD8"/>
    <w:rsid w:val="00965B16"/>
    <w:rsid w:val="00965C52"/>
    <w:rsid w:val="00965D62"/>
    <w:rsid w:val="00965F75"/>
    <w:rsid w:val="009662C1"/>
    <w:rsid w:val="009665E1"/>
    <w:rsid w:val="00966901"/>
    <w:rsid w:val="00966A14"/>
    <w:rsid w:val="00966A23"/>
    <w:rsid w:val="00967385"/>
    <w:rsid w:val="00967411"/>
    <w:rsid w:val="0096748C"/>
    <w:rsid w:val="009674C7"/>
    <w:rsid w:val="0096763D"/>
    <w:rsid w:val="00967AFA"/>
    <w:rsid w:val="00967CA4"/>
    <w:rsid w:val="00967CF7"/>
    <w:rsid w:val="00970665"/>
    <w:rsid w:val="009706B9"/>
    <w:rsid w:val="00970704"/>
    <w:rsid w:val="00970BA0"/>
    <w:rsid w:val="00970CA3"/>
    <w:rsid w:val="00971150"/>
    <w:rsid w:val="00971262"/>
    <w:rsid w:val="00971275"/>
    <w:rsid w:val="009713F6"/>
    <w:rsid w:val="00971492"/>
    <w:rsid w:val="009714F1"/>
    <w:rsid w:val="009715BA"/>
    <w:rsid w:val="00971AAA"/>
    <w:rsid w:val="00971D59"/>
    <w:rsid w:val="00971D9B"/>
    <w:rsid w:val="00972288"/>
    <w:rsid w:val="00972292"/>
    <w:rsid w:val="00972475"/>
    <w:rsid w:val="00972483"/>
    <w:rsid w:val="00972550"/>
    <w:rsid w:val="00972614"/>
    <w:rsid w:val="009726B6"/>
    <w:rsid w:val="009727E7"/>
    <w:rsid w:val="00972C84"/>
    <w:rsid w:val="00972E5A"/>
    <w:rsid w:val="009731D9"/>
    <w:rsid w:val="00973711"/>
    <w:rsid w:val="0097391E"/>
    <w:rsid w:val="0097399A"/>
    <w:rsid w:val="00973C77"/>
    <w:rsid w:val="009741D1"/>
    <w:rsid w:val="00974223"/>
    <w:rsid w:val="0097426C"/>
    <w:rsid w:val="009742B1"/>
    <w:rsid w:val="009748C5"/>
    <w:rsid w:val="00974B15"/>
    <w:rsid w:val="00974B60"/>
    <w:rsid w:val="00974BF3"/>
    <w:rsid w:val="00974C78"/>
    <w:rsid w:val="00974CAF"/>
    <w:rsid w:val="00974CC8"/>
    <w:rsid w:val="00974E00"/>
    <w:rsid w:val="009751BE"/>
    <w:rsid w:val="00975279"/>
    <w:rsid w:val="00975332"/>
    <w:rsid w:val="00975C53"/>
    <w:rsid w:val="00975E1E"/>
    <w:rsid w:val="00975E38"/>
    <w:rsid w:val="00975E46"/>
    <w:rsid w:val="0097602F"/>
    <w:rsid w:val="00976106"/>
    <w:rsid w:val="009763D3"/>
    <w:rsid w:val="00976877"/>
    <w:rsid w:val="009768D6"/>
    <w:rsid w:val="00976A49"/>
    <w:rsid w:val="00976AAB"/>
    <w:rsid w:val="00977600"/>
    <w:rsid w:val="0097760A"/>
    <w:rsid w:val="0097768D"/>
    <w:rsid w:val="009776AC"/>
    <w:rsid w:val="0097774A"/>
    <w:rsid w:val="00977B16"/>
    <w:rsid w:val="00977CD4"/>
    <w:rsid w:val="00977D90"/>
    <w:rsid w:val="00977E35"/>
    <w:rsid w:val="009801E4"/>
    <w:rsid w:val="009805FC"/>
    <w:rsid w:val="0098062E"/>
    <w:rsid w:val="0098085E"/>
    <w:rsid w:val="00980B51"/>
    <w:rsid w:val="00980CE3"/>
    <w:rsid w:val="00980CF0"/>
    <w:rsid w:val="00980DD9"/>
    <w:rsid w:val="00981238"/>
    <w:rsid w:val="009813ED"/>
    <w:rsid w:val="009814EC"/>
    <w:rsid w:val="009817D2"/>
    <w:rsid w:val="00981BA7"/>
    <w:rsid w:val="00981C05"/>
    <w:rsid w:val="00981C99"/>
    <w:rsid w:val="00981DF0"/>
    <w:rsid w:val="00981EF7"/>
    <w:rsid w:val="009820BE"/>
    <w:rsid w:val="009821BD"/>
    <w:rsid w:val="00982458"/>
    <w:rsid w:val="00982A8B"/>
    <w:rsid w:val="00982C7E"/>
    <w:rsid w:val="00982FFD"/>
    <w:rsid w:val="0098300F"/>
    <w:rsid w:val="00983149"/>
    <w:rsid w:val="00983875"/>
    <w:rsid w:val="009838BD"/>
    <w:rsid w:val="00983B8C"/>
    <w:rsid w:val="00983C7B"/>
    <w:rsid w:val="00983E3E"/>
    <w:rsid w:val="00983E87"/>
    <w:rsid w:val="00984212"/>
    <w:rsid w:val="009842DE"/>
    <w:rsid w:val="009847B0"/>
    <w:rsid w:val="0098492A"/>
    <w:rsid w:val="00984A3E"/>
    <w:rsid w:val="00984A61"/>
    <w:rsid w:val="00984DA9"/>
    <w:rsid w:val="00984E12"/>
    <w:rsid w:val="00984E80"/>
    <w:rsid w:val="0098514A"/>
    <w:rsid w:val="00985161"/>
    <w:rsid w:val="0098516A"/>
    <w:rsid w:val="00985BF3"/>
    <w:rsid w:val="00985C0F"/>
    <w:rsid w:val="00985DE3"/>
    <w:rsid w:val="00985F80"/>
    <w:rsid w:val="00985FA4"/>
    <w:rsid w:val="009860FB"/>
    <w:rsid w:val="00986152"/>
    <w:rsid w:val="00986213"/>
    <w:rsid w:val="009864CE"/>
    <w:rsid w:val="00986522"/>
    <w:rsid w:val="00986661"/>
    <w:rsid w:val="0098670B"/>
    <w:rsid w:val="0098692E"/>
    <w:rsid w:val="00986B05"/>
    <w:rsid w:val="00986CD3"/>
    <w:rsid w:val="00986CF3"/>
    <w:rsid w:val="00986E5B"/>
    <w:rsid w:val="00986FFF"/>
    <w:rsid w:val="00987606"/>
    <w:rsid w:val="009876E8"/>
    <w:rsid w:val="009877A4"/>
    <w:rsid w:val="00987923"/>
    <w:rsid w:val="009879B7"/>
    <w:rsid w:val="00987EB4"/>
    <w:rsid w:val="00987F05"/>
    <w:rsid w:val="00990278"/>
    <w:rsid w:val="00990477"/>
    <w:rsid w:val="00990503"/>
    <w:rsid w:val="00990AC6"/>
    <w:rsid w:val="00990CD4"/>
    <w:rsid w:val="00990EF7"/>
    <w:rsid w:val="00990FD1"/>
    <w:rsid w:val="009914A7"/>
    <w:rsid w:val="00991932"/>
    <w:rsid w:val="00991BB5"/>
    <w:rsid w:val="00991D45"/>
    <w:rsid w:val="00991D59"/>
    <w:rsid w:val="009922F8"/>
    <w:rsid w:val="009925A9"/>
    <w:rsid w:val="0099261A"/>
    <w:rsid w:val="00992968"/>
    <w:rsid w:val="00992BCC"/>
    <w:rsid w:val="00992D6F"/>
    <w:rsid w:val="00992F24"/>
    <w:rsid w:val="00993286"/>
    <w:rsid w:val="009932B0"/>
    <w:rsid w:val="0099335F"/>
    <w:rsid w:val="009933B8"/>
    <w:rsid w:val="00993889"/>
    <w:rsid w:val="00993891"/>
    <w:rsid w:val="009938CE"/>
    <w:rsid w:val="009939B2"/>
    <w:rsid w:val="00993E17"/>
    <w:rsid w:val="00993FE0"/>
    <w:rsid w:val="009944C8"/>
    <w:rsid w:val="009945DD"/>
    <w:rsid w:val="009949B7"/>
    <w:rsid w:val="00994D03"/>
    <w:rsid w:val="00994EFC"/>
    <w:rsid w:val="00995044"/>
    <w:rsid w:val="0099510E"/>
    <w:rsid w:val="00995230"/>
    <w:rsid w:val="0099525B"/>
    <w:rsid w:val="00995458"/>
    <w:rsid w:val="00995490"/>
    <w:rsid w:val="00995498"/>
    <w:rsid w:val="009955C7"/>
    <w:rsid w:val="00995707"/>
    <w:rsid w:val="009957EA"/>
    <w:rsid w:val="00995822"/>
    <w:rsid w:val="0099596E"/>
    <w:rsid w:val="00995993"/>
    <w:rsid w:val="00995B35"/>
    <w:rsid w:val="00995B3F"/>
    <w:rsid w:val="00995D5F"/>
    <w:rsid w:val="00995F3F"/>
    <w:rsid w:val="0099628C"/>
    <w:rsid w:val="0099631D"/>
    <w:rsid w:val="00996323"/>
    <w:rsid w:val="009964B2"/>
    <w:rsid w:val="0099659D"/>
    <w:rsid w:val="009965E9"/>
    <w:rsid w:val="0099660F"/>
    <w:rsid w:val="00996B2B"/>
    <w:rsid w:val="00996DD9"/>
    <w:rsid w:val="0099711E"/>
    <w:rsid w:val="009972B9"/>
    <w:rsid w:val="009972C6"/>
    <w:rsid w:val="009974BB"/>
    <w:rsid w:val="009974D2"/>
    <w:rsid w:val="0099774C"/>
    <w:rsid w:val="00997C66"/>
    <w:rsid w:val="00997C8A"/>
    <w:rsid w:val="009A0B4C"/>
    <w:rsid w:val="009A0C75"/>
    <w:rsid w:val="009A0CC7"/>
    <w:rsid w:val="009A1063"/>
    <w:rsid w:val="009A1356"/>
    <w:rsid w:val="009A160F"/>
    <w:rsid w:val="009A181F"/>
    <w:rsid w:val="009A1861"/>
    <w:rsid w:val="009A19A6"/>
    <w:rsid w:val="009A19F6"/>
    <w:rsid w:val="009A1B53"/>
    <w:rsid w:val="009A1CCC"/>
    <w:rsid w:val="009A1D9D"/>
    <w:rsid w:val="009A1F6E"/>
    <w:rsid w:val="009A1FC8"/>
    <w:rsid w:val="009A20B4"/>
    <w:rsid w:val="009A24E1"/>
    <w:rsid w:val="009A264A"/>
    <w:rsid w:val="009A29D7"/>
    <w:rsid w:val="009A2AB3"/>
    <w:rsid w:val="009A2C94"/>
    <w:rsid w:val="009A30CE"/>
    <w:rsid w:val="009A31FE"/>
    <w:rsid w:val="009A32F1"/>
    <w:rsid w:val="009A33E0"/>
    <w:rsid w:val="009A35A2"/>
    <w:rsid w:val="009A365E"/>
    <w:rsid w:val="009A3689"/>
    <w:rsid w:val="009A3EA4"/>
    <w:rsid w:val="009A3EC1"/>
    <w:rsid w:val="009A3F6E"/>
    <w:rsid w:val="009A4866"/>
    <w:rsid w:val="009A48D7"/>
    <w:rsid w:val="009A496F"/>
    <w:rsid w:val="009A4DB9"/>
    <w:rsid w:val="009A4DD8"/>
    <w:rsid w:val="009A4EE1"/>
    <w:rsid w:val="009A5070"/>
    <w:rsid w:val="009A5341"/>
    <w:rsid w:val="009A539E"/>
    <w:rsid w:val="009A5768"/>
    <w:rsid w:val="009A5C4F"/>
    <w:rsid w:val="009A60CB"/>
    <w:rsid w:val="009A60DC"/>
    <w:rsid w:val="009A6285"/>
    <w:rsid w:val="009A651F"/>
    <w:rsid w:val="009A6998"/>
    <w:rsid w:val="009A69E0"/>
    <w:rsid w:val="009A6B24"/>
    <w:rsid w:val="009A6D0F"/>
    <w:rsid w:val="009A7461"/>
    <w:rsid w:val="009A75BC"/>
    <w:rsid w:val="009A76BF"/>
    <w:rsid w:val="009A7A1D"/>
    <w:rsid w:val="009A7B92"/>
    <w:rsid w:val="009A7C45"/>
    <w:rsid w:val="009A7DB9"/>
    <w:rsid w:val="009A7EBF"/>
    <w:rsid w:val="009A7FAF"/>
    <w:rsid w:val="009B0A59"/>
    <w:rsid w:val="009B0C8A"/>
    <w:rsid w:val="009B0F1A"/>
    <w:rsid w:val="009B0F48"/>
    <w:rsid w:val="009B0FCE"/>
    <w:rsid w:val="009B12AF"/>
    <w:rsid w:val="009B16B3"/>
    <w:rsid w:val="009B1750"/>
    <w:rsid w:val="009B1873"/>
    <w:rsid w:val="009B199D"/>
    <w:rsid w:val="009B1AF2"/>
    <w:rsid w:val="009B1E75"/>
    <w:rsid w:val="009B1EC0"/>
    <w:rsid w:val="009B1FC7"/>
    <w:rsid w:val="009B1FCF"/>
    <w:rsid w:val="009B23C3"/>
    <w:rsid w:val="009B2404"/>
    <w:rsid w:val="009B24D7"/>
    <w:rsid w:val="009B2562"/>
    <w:rsid w:val="009B25FA"/>
    <w:rsid w:val="009B2733"/>
    <w:rsid w:val="009B279F"/>
    <w:rsid w:val="009B2940"/>
    <w:rsid w:val="009B29C5"/>
    <w:rsid w:val="009B2B64"/>
    <w:rsid w:val="009B2BB5"/>
    <w:rsid w:val="009B2C8F"/>
    <w:rsid w:val="009B2CE3"/>
    <w:rsid w:val="009B2DBD"/>
    <w:rsid w:val="009B3138"/>
    <w:rsid w:val="009B33DE"/>
    <w:rsid w:val="009B34C4"/>
    <w:rsid w:val="009B367E"/>
    <w:rsid w:val="009B3C5E"/>
    <w:rsid w:val="009B3D97"/>
    <w:rsid w:val="009B3ECA"/>
    <w:rsid w:val="009B4312"/>
    <w:rsid w:val="009B434C"/>
    <w:rsid w:val="009B43EE"/>
    <w:rsid w:val="009B44B0"/>
    <w:rsid w:val="009B477B"/>
    <w:rsid w:val="009B4A1F"/>
    <w:rsid w:val="009B4D6A"/>
    <w:rsid w:val="009B4E08"/>
    <w:rsid w:val="009B4F5A"/>
    <w:rsid w:val="009B5077"/>
    <w:rsid w:val="009B50B7"/>
    <w:rsid w:val="009B520A"/>
    <w:rsid w:val="009B5344"/>
    <w:rsid w:val="009B53E9"/>
    <w:rsid w:val="009B55E4"/>
    <w:rsid w:val="009B5752"/>
    <w:rsid w:val="009B57E4"/>
    <w:rsid w:val="009B583F"/>
    <w:rsid w:val="009B5CBF"/>
    <w:rsid w:val="009B5DC4"/>
    <w:rsid w:val="009B605F"/>
    <w:rsid w:val="009B6217"/>
    <w:rsid w:val="009B64FB"/>
    <w:rsid w:val="009B6655"/>
    <w:rsid w:val="009B6AF2"/>
    <w:rsid w:val="009B6B7C"/>
    <w:rsid w:val="009B6D1A"/>
    <w:rsid w:val="009B7051"/>
    <w:rsid w:val="009B70CA"/>
    <w:rsid w:val="009B7115"/>
    <w:rsid w:val="009B7362"/>
    <w:rsid w:val="009B7420"/>
    <w:rsid w:val="009B7656"/>
    <w:rsid w:val="009B76D2"/>
    <w:rsid w:val="009B775C"/>
    <w:rsid w:val="009B787E"/>
    <w:rsid w:val="009B7896"/>
    <w:rsid w:val="009B7D49"/>
    <w:rsid w:val="009C0132"/>
    <w:rsid w:val="009C016B"/>
    <w:rsid w:val="009C03BD"/>
    <w:rsid w:val="009C0A06"/>
    <w:rsid w:val="009C0FD8"/>
    <w:rsid w:val="009C1006"/>
    <w:rsid w:val="009C10B6"/>
    <w:rsid w:val="009C1133"/>
    <w:rsid w:val="009C151E"/>
    <w:rsid w:val="009C154A"/>
    <w:rsid w:val="009C15DC"/>
    <w:rsid w:val="009C163D"/>
    <w:rsid w:val="009C16F4"/>
    <w:rsid w:val="009C1780"/>
    <w:rsid w:val="009C18AB"/>
    <w:rsid w:val="009C19A2"/>
    <w:rsid w:val="009C1AD9"/>
    <w:rsid w:val="009C1B58"/>
    <w:rsid w:val="009C1B7E"/>
    <w:rsid w:val="009C1D6F"/>
    <w:rsid w:val="009C1EF2"/>
    <w:rsid w:val="009C1F86"/>
    <w:rsid w:val="009C2234"/>
    <w:rsid w:val="009C2386"/>
    <w:rsid w:val="009C25A4"/>
    <w:rsid w:val="009C2864"/>
    <w:rsid w:val="009C299F"/>
    <w:rsid w:val="009C29B5"/>
    <w:rsid w:val="009C2B2B"/>
    <w:rsid w:val="009C2B65"/>
    <w:rsid w:val="009C2CC2"/>
    <w:rsid w:val="009C3138"/>
    <w:rsid w:val="009C3565"/>
    <w:rsid w:val="009C3629"/>
    <w:rsid w:val="009C39A7"/>
    <w:rsid w:val="009C3CDC"/>
    <w:rsid w:val="009C3E2A"/>
    <w:rsid w:val="009C4235"/>
    <w:rsid w:val="009C4349"/>
    <w:rsid w:val="009C43FA"/>
    <w:rsid w:val="009C45F8"/>
    <w:rsid w:val="009C489F"/>
    <w:rsid w:val="009C49EF"/>
    <w:rsid w:val="009C4C0B"/>
    <w:rsid w:val="009C4C83"/>
    <w:rsid w:val="009C4D3F"/>
    <w:rsid w:val="009C4DBA"/>
    <w:rsid w:val="009C510B"/>
    <w:rsid w:val="009C53F3"/>
    <w:rsid w:val="009C557F"/>
    <w:rsid w:val="009C559D"/>
    <w:rsid w:val="009C57DE"/>
    <w:rsid w:val="009C5803"/>
    <w:rsid w:val="009C5825"/>
    <w:rsid w:val="009C58AC"/>
    <w:rsid w:val="009C59E6"/>
    <w:rsid w:val="009C5A62"/>
    <w:rsid w:val="009C5D68"/>
    <w:rsid w:val="009C5DEC"/>
    <w:rsid w:val="009C5E4A"/>
    <w:rsid w:val="009C6614"/>
    <w:rsid w:val="009C6699"/>
    <w:rsid w:val="009C692D"/>
    <w:rsid w:val="009C6AE1"/>
    <w:rsid w:val="009C6DAE"/>
    <w:rsid w:val="009C6F7C"/>
    <w:rsid w:val="009C6F96"/>
    <w:rsid w:val="009C76E1"/>
    <w:rsid w:val="009C778A"/>
    <w:rsid w:val="009C79C0"/>
    <w:rsid w:val="009C7E38"/>
    <w:rsid w:val="009C7EEC"/>
    <w:rsid w:val="009C7F16"/>
    <w:rsid w:val="009C7F70"/>
    <w:rsid w:val="009D0011"/>
    <w:rsid w:val="009D00B9"/>
    <w:rsid w:val="009D080A"/>
    <w:rsid w:val="009D0A1F"/>
    <w:rsid w:val="009D0A92"/>
    <w:rsid w:val="009D0CA0"/>
    <w:rsid w:val="009D10F2"/>
    <w:rsid w:val="009D111D"/>
    <w:rsid w:val="009D14C7"/>
    <w:rsid w:val="009D1B3A"/>
    <w:rsid w:val="009D1B82"/>
    <w:rsid w:val="009D1BB6"/>
    <w:rsid w:val="009D1E45"/>
    <w:rsid w:val="009D1EA0"/>
    <w:rsid w:val="009D2251"/>
    <w:rsid w:val="009D2291"/>
    <w:rsid w:val="009D2341"/>
    <w:rsid w:val="009D23AC"/>
    <w:rsid w:val="009D24D5"/>
    <w:rsid w:val="009D26FF"/>
    <w:rsid w:val="009D28A5"/>
    <w:rsid w:val="009D2A92"/>
    <w:rsid w:val="009D2CE4"/>
    <w:rsid w:val="009D2EA1"/>
    <w:rsid w:val="009D2EBE"/>
    <w:rsid w:val="009D2F8F"/>
    <w:rsid w:val="009D311E"/>
    <w:rsid w:val="009D3289"/>
    <w:rsid w:val="009D32AE"/>
    <w:rsid w:val="009D3316"/>
    <w:rsid w:val="009D381A"/>
    <w:rsid w:val="009D3B1A"/>
    <w:rsid w:val="009D3BB1"/>
    <w:rsid w:val="009D3CF9"/>
    <w:rsid w:val="009D3E66"/>
    <w:rsid w:val="009D3E79"/>
    <w:rsid w:val="009D3F32"/>
    <w:rsid w:val="009D4091"/>
    <w:rsid w:val="009D40A0"/>
    <w:rsid w:val="009D41A4"/>
    <w:rsid w:val="009D4236"/>
    <w:rsid w:val="009D42D4"/>
    <w:rsid w:val="009D4353"/>
    <w:rsid w:val="009D450A"/>
    <w:rsid w:val="009D46A8"/>
    <w:rsid w:val="009D4B20"/>
    <w:rsid w:val="009D4D8A"/>
    <w:rsid w:val="009D532F"/>
    <w:rsid w:val="009D5721"/>
    <w:rsid w:val="009D5A76"/>
    <w:rsid w:val="009D5AAF"/>
    <w:rsid w:val="009D5AB4"/>
    <w:rsid w:val="009D610A"/>
    <w:rsid w:val="009D6737"/>
    <w:rsid w:val="009D6D62"/>
    <w:rsid w:val="009D7090"/>
    <w:rsid w:val="009D739C"/>
    <w:rsid w:val="009D7543"/>
    <w:rsid w:val="009D759A"/>
    <w:rsid w:val="009D75EB"/>
    <w:rsid w:val="009D764C"/>
    <w:rsid w:val="009D7774"/>
    <w:rsid w:val="009D7A02"/>
    <w:rsid w:val="009D7E29"/>
    <w:rsid w:val="009E0160"/>
    <w:rsid w:val="009E020C"/>
    <w:rsid w:val="009E0573"/>
    <w:rsid w:val="009E0642"/>
    <w:rsid w:val="009E07E8"/>
    <w:rsid w:val="009E0ABE"/>
    <w:rsid w:val="009E0B5D"/>
    <w:rsid w:val="009E0C41"/>
    <w:rsid w:val="009E0EF5"/>
    <w:rsid w:val="009E0F0C"/>
    <w:rsid w:val="009E0F48"/>
    <w:rsid w:val="009E15D6"/>
    <w:rsid w:val="009E1904"/>
    <w:rsid w:val="009E1949"/>
    <w:rsid w:val="009E1985"/>
    <w:rsid w:val="009E1B82"/>
    <w:rsid w:val="009E1C79"/>
    <w:rsid w:val="009E1F2C"/>
    <w:rsid w:val="009E2297"/>
    <w:rsid w:val="009E2484"/>
    <w:rsid w:val="009E26B4"/>
    <w:rsid w:val="009E2715"/>
    <w:rsid w:val="009E282D"/>
    <w:rsid w:val="009E294E"/>
    <w:rsid w:val="009E2A52"/>
    <w:rsid w:val="009E2AB9"/>
    <w:rsid w:val="009E2B76"/>
    <w:rsid w:val="009E2C09"/>
    <w:rsid w:val="009E2C7E"/>
    <w:rsid w:val="009E2D68"/>
    <w:rsid w:val="009E2FBF"/>
    <w:rsid w:val="009E300C"/>
    <w:rsid w:val="009E3097"/>
    <w:rsid w:val="009E3277"/>
    <w:rsid w:val="009E32BD"/>
    <w:rsid w:val="009E32F4"/>
    <w:rsid w:val="009E372D"/>
    <w:rsid w:val="009E3870"/>
    <w:rsid w:val="009E39A1"/>
    <w:rsid w:val="009E3A4F"/>
    <w:rsid w:val="009E3A70"/>
    <w:rsid w:val="009E3B52"/>
    <w:rsid w:val="009E3BBB"/>
    <w:rsid w:val="009E3E48"/>
    <w:rsid w:val="009E3EB2"/>
    <w:rsid w:val="009E4199"/>
    <w:rsid w:val="009E44F9"/>
    <w:rsid w:val="009E4ACD"/>
    <w:rsid w:val="009E5064"/>
    <w:rsid w:val="009E551D"/>
    <w:rsid w:val="009E5CC7"/>
    <w:rsid w:val="009E5D83"/>
    <w:rsid w:val="009E5ED4"/>
    <w:rsid w:val="009E5FC3"/>
    <w:rsid w:val="009E5FED"/>
    <w:rsid w:val="009E618C"/>
    <w:rsid w:val="009E6359"/>
    <w:rsid w:val="009E66AD"/>
    <w:rsid w:val="009E66CF"/>
    <w:rsid w:val="009E6714"/>
    <w:rsid w:val="009E6C34"/>
    <w:rsid w:val="009E6D76"/>
    <w:rsid w:val="009E7082"/>
    <w:rsid w:val="009E7230"/>
    <w:rsid w:val="009E735A"/>
    <w:rsid w:val="009E769F"/>
    <w:rsid w:val="009E76AE"/>
    <w:rsid w:val="009E770D"/>
    <w:rsid w:val="009E776C"/>
    <w:rsid w:val="009E7783"/>
    <w:rsid w:val="009E7BBF"/>
    <w:rsid w:val="009F0218"/>
    <w:rsid w:val="009F04DF"/>
    <w:rsid w:val="009F0520"/>
    <w:rsid w:val="009F09E8"/>
    <w:rsid w:val="009F0B51"/>
    <w:rsid w:val="009F0B6E"/>
    <w:rsid w:val="009F0E56"/>
    <w:rsid w:val="009F0E95"/>
    <w:rsid w:val="009F0FAF"/>
    <w:rsid w:val="009F1083"/>
    <w:rsid w:val="009F1315"/>
    <w:rsid w:val="009F13CB"/>
    <w:rsid w:val="009F143C"/>
    <w:rsid w:val="009F16F8"/>
    <w:rsid w:val="009F1760"/>
    <w:rsid w:val="009F177D"/>
    <w:rsid w:val="009F1A94"/>
    <w:rsid w:val="009F1F46"/>
    <w:rsid w:val="009F2023"/>
    <w:rsid w:val="009F219E"/>
    <w:rsid w:val="009F23A3"/>
    <w:rsid w:val="009F282F"/>
    <w:rsid w:val="009F294B"/>
    <w:rsid w:val="009F29CE"/>
    <w:rsid w:val="009F2A99"/>
    <w:rsid w:val="009F2D30"/>
    <w:rsid w:val="009F2D71"/>
    <w:rsid w:val="009F2E7B"/>
    <w:rsid w:val="009F2F79"/>
    <w:rsid w:val="009F2F83"/>
    <w:rsid w:val="009F2FBA"/>
    <w:rsid w:val="009F33E4"/>
    <w:rsid w:val="009F3436"/>
    <w:rsid w:val="009F343C"/>
    <w:rsid w:val="009F34B5"/>
    <w:rsid w:val="009F35B6"/>
    <w:rsid w:val="009F36BC"/>
    <w:rsid w:val="009F3AF7"/>
    <w:rsid w:val="009F3D29"/>
    <w:rsid w:val="009F3D8A"/>
    <w:rsid w:val="009F3DC9"/>
    <w:rsid w:val="009F42B0"/>
    <w:rsid w:val="009F42D8"/>
    <w:rsid w:val="009F4704"/>
    <w:rsid w:val="009F49A2"/>
    <w:rsid w:val="009F4B77"/>
    <w:rsid w:val="009F4E3E"/>
    <w:rsid w:val="009F530D"/>
    <w:rsid w:val="009F5363"/>
    <w:rsid w:val="009F587C"/>
    <w:rsid w:val="009F5A85"/>
    <w:rsid w:val="009F5C09"/>
    <w:rsid w:val="009F5F0A"/>
    <w:rsid w:val="009F603C"/>
    <w:rsid w:val="009F605B"/>
    <w:rsid w:val="009F6238"/>
    <w:rsid w:val="009F62EC"/>
    <w:rsid w:val="009F6354"/>
    <w:rsid w:val="009F63E9"/>
    <w:rsid w:val="009F646B"/>
    <w:rsid w:val="009F6B18"/>
    <w:rsid w:val="009F6C10"/>
    <w:rsid w:val="009F73B8"/>
    <w:rsid w:val="009F7548"/>
    <w:rsid w:val="009F7555"/>
    <w:rsid w:val="009F763B"/>
    <w:rsid w:val="009F7909"/>
    <w:rsid w:val="009F7B83"/>
    <w:rsid w:val="009F7B96"/>
    <w:rsid w:val="009F7BEA"/>
    <w:rsid w:val="009F7E4B"/>
    <w:rsid w:val="00A00152"/>
    <w:rsid w:val="00A0046C"/>
    <w:rsid w:val="00A005A4"/>
    <w:rsid w:val="00A006C3"/>
    <w:rsid w:val="00A00983"/>
    <w:rsid w:val="00A00BEC"/>
    <w:rsid w:val="00A00E34"/>
    <w:rsid w:val="00A00E86"/>
    <w:rsid w:val="00A00EB3"/>
    <w:rsid w:val="00A01068"/>
    <w:rsid w:val="00A01278"/>
    <w:rsid w:val="00A01353"/>
    <w:rsid w:val="00A01382"/>
    <w:rsid w:val="00A0142C"/>
    <w:rsid w:val="00A01494"/>
    <w:rsid w:val="00A014A0"/>
    <w:rsid w:val="00A01678"/>
    <w:rsid w:val="00A01B95"/>
    <w:rsid w:val="00A01C33"/>
    <w:rsid w:val="00A01F6B"/>
    <w:rsid w:val="00A01FE7"/>
    <w:rsid w:val="00A02022"/>
    <w:rsid w:val="00A0251C"/>
    <w:rsid w:val="00A02A95"/>
    <w:rsid w:val="00A02CB5"/>
    <w:rsid w:val="00A02E9B"/>
    <w:rsid w:val="00A02FD1"/>
    <w:rsid w:val="00A033DE"/>
    <w:rsid w:val="00A0355D"/>
    <w:rsid w:val="00A0368C"/>
    <w:rsid w:val="00A038FE"/>
    <w:rsid w:val="00A03A7C"/>
    <w:rsid w:val="00A03D9F"/>
    <w:rsid w:val="00A03E87"/>
    <w:rsid w:val="00A0426C"/>
    <w:rsid w:val="00A046F6"/>
    <w:rsid w:val="00A047AC"/>
    <w:rsid w:val="00A0482E"/>
    <w:rsid w:val="00A0493B"/>
    <w:rsid w:val="00A049BC"/>
    <w:rsid w:val="00A04A16"/>
    <w:rsid w:val="00A04AF5"/>
    <w:rsid w:val="00A04CB6"/>
    <w:rsid w:val="00A05100"/>
    <w:rsid w:val="00A05258"/>
    <w:rsid w:val="00A05277"/>
    <w:rsid w:val="00A052B7"/>
    <w:rsid w:val="00A054B0"/>
    <w:rsid w:val="00A05653"/>
    <w:rsid w:val="00A056AC"/>
    <w:rsid w:val="00A05835"/>
    <w:rsid w:val="00A058A9"/>
    <w:rsid w:val="00A05A72"/>
    <w:rsid w:val="00A06013"/>
    <w:rsid w:val="00A06311"/>
    <w:rsid w:val="00A06565"/>
    <w:rsid w:val="00A066DE"/>
    <w:rsid w:val="00A0681A"/>
    <w:rsid w:val="00A0690F"/>
    <w:rsid w:val="00A06995"/>
    <w:rsid w:val="00A06BDB"/>
    <w:rsid w:val="00A06BEC"/>
    <w:rsid w:val="00A06E3E"/>
    <w:rsid w:val="00A06E82"/>
    <w:rsid w:val="00A06F3C"/>
    <w:rsid w:val="00A06FA3"/>
    <w:rsid w:val="00A07167"/>
    <w:rsid w:val="00A072A5"/>
    <w:rsid w:val="00A072E9"/>
    <w:rsid w:val="00A07849"/>
    <w:rsid w:val="00A07AB0"/>
    <w:rsid w:val="00A07BFA"/>
    <w:rsid w:val="00A07D16"/>
    <w:rsid w:val="00A10167"/>
    <w:rsid w:val="00A10306"/>
    <w:rsid w:val="00A10554"/>
    <w:rsid w:val="00A10A9F"/>
    <w:rsid w:val="00A10D86"/>
    <w:rsid w:val="00A1100F"/>
    <w:rsid w:val="00A11094"/>
    <w:rsid w:val="00A112E3"/>
    <w:rsid w:val="00A11514"/>
    <w:rsid w:val="00A11707"/>
    <w:rsid w:val="00A11AAE"/>
    <w:rsid w:val="00A11AC3"/>
    <w:rsid w:val="00A11BA0"/>
    <w:rsid w:val="00A11D5F"/>
    <w:rsid w:val="00A11E0C"/>
    <w:rsid w:val="00A11E51"/>
    <w:rsid w:val="00A11FBF"/>
    <w:rsid w:val="00A1206A"/>
    <w:rsid w:val="00A120B0"/>
    <w:rsid w:val="00A12457"/>
    <w:rsid w:val="00A124F9"/>
    <w:rsid w:val="00A12DC9"/>
    <w:rsid w:val="00A1324C"/>
    <w:rsid w:val="00A1328B"/>
    <w:rsid w:val="00A1362D"/>
    <w:rsid w:val="00A138B0"/>
    <w:rsid w:val="00A13956"/>
    <w:rsid w:val="00A13CD0"/>
    <w:rsid w:val="00A13E13"/>
    <w:rsid w:val="00A14115"/>
    <w:rsid w:val="00A14759"/>
    <w:rsid w:val="00A148B3"/>
    <w:rsid w:val="00A14935"/>
    <w:rsid w:val="00A149DD"/>
    <w:rsid w:val="00A14A04"/>
    <w:rsid w:val="00A14C0B"/>
    <w:rsid w:val="00A14C63"/>
    <w:rsid w:val="00A15212"/>
    <w:rsid w:val="00A15690"/>
    <w:rsid w:val="00A159C6"/>
    <w:rsid w:val="00A15D50"/>
    <w:rsid w:val="00A15FE1"/>
    <w:rsid w:val="00A16017"/>
    <w:rsid w:val="00A160DA"/>
    <w:rsid w:val="00A16132"/>
    <w:rsid w:val="00A16194"/>
    <w:rsid w:val="00A16291"/>
    <w:rsid w:val="00A162DB"/>
    <w:rsid w:val="00A16300"/>
    <w:rsid w:val="00A16800"/>
    <w:rsid w:val="00A16ACC"/>
    <w:rsid w:val="00A16AE5"/>
    <w:rsid w:val="00A16C64"/>
    <w:rsid w:val="00A16CD0"/>
    <w:rsid w:val="00A16E4E"/>
    <w:rsid w:val="00A1702A"/>
    <w:rsid w:val="00A1735B"/>
    <w:rsid w:val="00A17672"/>
    <w:rsid w:val="00A179A2"/>
    <w:rsid w:val="00A17CF5"/>
    <w:rsid w:val="00A17DBA"/>
    <w:rsid w:val="00A17EAD"/>
    <w:rsid w:val="00A17FCD"/>
    <w:rsid w:val="00A202B9"/>
    <w:rsid w:val="00A202F2"/>
    <w:rsid w:val="00A2046C"/>
    <w:rsid w:val="00A20514"/>
    <w:rsid w:val="00A20675"/>
    <w:rsid w:val="00A20B84"/>
    <w:rsid w:val="00A20F89"/>
    <w:rsid w:val="00A210DE"/>
    <w:rsid w:val="00A211EB"/>
    <w:rsid w:val="00A21259"/>
    <w:rsid w:val="00A21290"/>
    <w:rsid w:val="00A213B4"/>
    <w:rsid w:val="00A2172A"/>
    <w:rsid w:val="00A219B1"/>
    <w:rsid w:val="00A21CD0"/>
    <w:rsid w:val="00A21D74"/>
    <w:rsid w:val="00A21DFF"/>
    <w:rsid w:val="00A21EA8"/>
    <w:rsid w:val="00A22078"/>
    <w:rsid w:val="00A220D1"/>
    <w:rsid w:val="00A22379"/>
    <w:rsid w:val="00A2264A"/>
    <w:rsid w:val="00A22666"/>
    <w:rsid w:val="00A22B34"/>
    <w:rsid w:val="00A22C3E"/>
    <w:rsid w:val="00A23196"/>
    <w:rsid w:val="00A235FF"/>
    <w:rsid w:val="00A236AB"/>
    <w:rsid w:val="00A23826"/>
    <w:rsid w:val="00A23896"/>
    <w:rsid w:val="00A2389A"/>
    <w:rsid w:val="00A23C0B"/>
    <w:rsid w:val="00A23F01"/>
    <w:rsid w:val="00A240F0"/>
    <w:rsid w:val="00A2419E"/>
    <w:rsid w:val="00A24920"/>
    <w:rsid w:val="00A24A8E"/>
    <w:rsid w:val="00A24CD5"/>
    <w:rsid w:val="00A24E94"/>
    <w:rsid w:val="00A24F4F"/>
    <w:rsid w:val="00A25022"/>
    <w:rsid w:val="00A25629"/>
    <w:rsid w:val="00A256C7"/>
    <w:rsid w:val="00A25A5B"/>
    <w:rsid w:val="00A25C1E"/>
    <w:rsid w:val="00A25C3D"/>
    <w:rsid w:val="00A25E1D"/>
    <w:rsid w:val="00A260E3"/>
    <w:rsid w:val="00A266EE"/>
    <w:rsid w:val="00A26E2C"/>
    <w:rsid w:val="00A26E30"/>
    <w:rsid w:val="00A27123"/>
    <w:rsid w:val="00A2726D"/>
    <w:rsid w:val="00A27539"/>
    <w:rsid w:val="00A27604"/>
    <w:rsid w:val="00A276A8"/>
    <w:rsid w:val="00A276DE"/>
    <w:rsid w:val="00A2774E"/>
    <w:rsid w:val="00A279FE"/>
    <w:rsid w:val="00A27C06"/>
    <w:rsid w:val="00A27D94"/>
    <w:rsid w:val="00A27E14"/>
    <w:rsid w:val="00A27E96"/>
    <w:rsid w:val="00A30041"/>
    <w:rsid w:val="00A304BF"/>
    <w:rsid w:val="00A30838"/>
    <w:rsid w:val="00A30AAE"/>
    <w:rsid w:val="00A30D5B"/>
    <w:rsid w:val="00A30DD3"/>
    <w:rsid w:val="00A30E92"/>
    <w:rsid w:val="00A3138B"/>
    <w:rsid w:val="00A3154D"/>
    <w:rsid w:val="00A3187B"/>
    <w:rsid w:val="00A318DA"/>
    <w:rsid w:val="00A31956"/>
    <w:rsid w:val="00A31BDC"/>
    <w:rsid w:val="00A31CDF"/>
    <w:rsid w:val="00A320F4"/>
    <w:rsid w:val="00A32719"/>
    <w:rsid w:val="00A3275F"/>
    <w:rsid w:val="00A32796"/>
    <w:rsid w:val="00A32996"/>
    <w:rsid w:val="00A32B37"/>
    <w:rsid w:val="00A32CBD"/>
    <w:rsid w:val="00A32E7D"/>
    <w:rsid w:val="00A32EAA"/>
    <w:rsid w:val="00A32F4A"/>
    <w:rsid w:val="00A32F55"/>
    <w:rsid w:val="00A331EB"/>
    <w:rsid w:val="00A33536"/>
    <w:rsid w:val="00A3386C"/>
    <w:rsid w:val="00A3399D"/>
    <w:rsid w:val="00A339C0"/>
    <w:rsid w:val="00A33C70"/>
    <w:rsid w:val="00A33E14"/>
    <w:rsid w:val="00A33E32"/>
    <w:rsid w:val="00A341D9"/>
    <w:rsid w:val="00A34361"/>
    <w:rsid w:val="00A34699"/>
    <w:rsid w:val="00A346A4"/>
    <w:rsid w:val="00A3485A"/>
    <w:rsid w:val="00A348A0"/>
    <w:rsid w:val="00A349B0"/>
    <w:rsid w:val="00A34A05"/>
    <w:rsid w:val="00A34A46"/>
    <w:rsid w:val="00A34D74"/>
    <w:rsid w:val="00A35191"/>
    <w:rsid w:val="00A351FF"/>
    <w:rsid w:val="00A35213"/>
    <w:rsid w:val="00A35333"/>
    <w:rsid w:val="00A356BC"/>
    <w:rsid w:val="00A356EB"/>
    <w:rsid w:val="00A35888"/>
    <w:rsid w:val="00A359FB"/>
    <w:rsid w:val="00A35D2E"/>
    <w:rsid w:val="00A35D48"/>
    <w:rsid w:val="00A35FA1"/>
    <w:rsid w:val="00A35FF9"/>
    <w:rsid w:val="00A360A2"/>
    <w:rsid w:val="00A363CB"/>
    <w:rsid w:val="00A363CD"/>
    <w:rsid w:val="00A36629"/>
    <w:rsid w:val="00A36869"/>
    <w:rsid w:val="00A3696C"/>
    <w:rsid w:val="00A36B97"/>
    <w:rsid w:val="00A36BA3"/>
    <w:rsid w:val="00A36D67"/>
    <w:rsid w:val="00A36E4A"/>
    <w:rsid w:val="00A36E60"/>
    <w:rsid w:val="00A36E70"/>
    <w:rsid w:val="00A36E7E"/>
    <w:rsid w:val="00A3725D"/>
    <w:rsid w:val="00A37379"/>
    <w:rsid w:val="00A3752B"/>
    <w:rsid w:val="00A3757B"/>
    <w:rsid w:val="00A3759E"/>
    <w:rsid w:val="00A3794B"/>
    <w:rsid w:val="00A379D2"/>
    <w:rsid w:val="00A37B35"/>
    <w:rsid w:val="00A37DA8"/>
    <w:rsid w:val="00A37ECB"/>
    <w:rsid w:val="00A401CB"/>
    <w:rsid w:val="00A402AD"/>
    <w:rsid w:val="00A404EE"/>
    <w:rsid w:val="00A40847"/>
    <w:rsid w:val="00A4097E"/>
    <w:rsid w:val="00A40A9F"/>
    <w:rsid w:val="00A40CA0"/>
    <w:rsid w:val="00A40DF6"/>
    <w:rsid w:val="00A40EC2"/>
    <w:rsid w:val="00A41254"/>
    <w:rsid w:val="00A41363"/>
    <w:rsid w:val="00A413B0"/>
    <w:rsid w:val="00A41657"/>
    <w:rsid w:val="00A41BE3"/>
    <w:rsid w:val="00A41EAB"/>
    <w:rsid w:val="00A422B8"/>
    <w:rsid w:val="00A423E3"/>
    <w:rsid w:val="00A423FC"/>
    <w:rsid w:val="00A42894"/>
    <w:rsid w:val="00A429CD"/>
    <w:rsid w:val="00A42A1F"/>
    <w:rsid w:val="00A42A20"/>
    <w:rsid w:val="00A42D48"/>
    <w:rsid w:val="00A43124"/>
    <w:rsid w:val="00A43286"/>
    <w:rsid w:val="00A4348E"/>
    <w:rsid w:val="00A434EA"/>
    <w:rsid w:val="00A43610"/>
    <w:rsid w:val="00A43719"/>
    <w:rsid w:val="00A4381D"/>
    <w:rsid w:val="00A438A9"/>
    <w:rsid w:val="00A4398C"/>
    <w:rsid w:val="00A439A9"/>
    <w:rsid w:val="00A43F47"/>
    <w:rsid w:val="00A43F5E"/>
    <w:rsid w:val="00A44063"/>
    <w:rsid w:val="00A44194"/>
    <w:rsid w:val="00A44210"/>
    <w:rsid w:val="00A442AF"/>
    <w:rsid w:val="00A44497"/>
    <w:rsid w:val="00A4462D"/>
    <w:rsid w:val="00A44960"/>
    <w:rsid w:val="00A44B27"/>
    <w:rsid w:val="00A44F62"/>
    <w:rsid w:val="00A450BD"/>
    <w:rsid w:val="00A45359"/>
    <w:rsid w:val="00A456D9"/>
    <w:rsid w:val="00A458C5"/>
    <w:rsid w:val="00A45A1E"/>
    <w:rsid w:val="00A45AC1"/>
    <w:rsid w:val="00A45BE3"/>
    <w:rsid w:val="00A46059"/>
    <w:rsid w:val="00A46173"/>
    <w:rsid w:val="00A465E9"/>
    <w:rsid w:val="00A46867"/>
    <w:rsid w:val="00A46A72"/>
    <w:rsid w:val="00A46BA3"/>
    <w:rsid w:val="00A46C61"/>
    <w:rsid w:val="00A46CFC"/>
    <w:rsid w:val="00A46E2A"/>
    <w:rsid w:val="00A46ECB"/>
    <w:rsid w:val="00A46FEA"/>
    <w:rsid w:val="00A4749B"/>
    <w:rsid w:val="00A477EA"/>
    <w:rsid w:val="00A47805"/>
    <w:rsid w:val="00A47860"/>
    <w:rsid w:val="00A478D1"/>
    <w:rsid w:val="00A47B6C"/>
    <w:rsid w:val="00A47D00"/>
    <w:rsid w:val="00A50100"/>
    <w:rsid w:val="00A50182"/>
    <w:rsid w:val="00A50345"/>
    <w:rsid w:val="00A503A5"/>
    <w:rsid w:val="00A5041D"/>
    <w:rsid w:val="00A50677"/>
    <w:rsid w:val="00A5089F"/>
    <w:rsid w:val="00A50B17"/>
    <w:rsid w:val="00A50D57"/>
    <w:rsid w:val="00A50E67"/>
    <w:rsid w:val="00A50F3C"/>
    <w:rsid w:val="00A51000"/>
    <w:rsid w:val="00A5121F"/>
    <w:rsid w:val="00A51323"/>
    <w:rsid w:val="00A51897"/>
    <w:rsid w:val="00A51A2B"/>
    <w:rsid w:val="00A51AB3"/>
    <w:rsid w:val="00A51AD2"/>
    <w:rsid w:val="00A51B96"/>
    <w:rsid w:val="00A51C24"/>
    <w:rsid w:val="00A51CA6"/>
    <w:rsid w:val="00A51D7C"/>
    <w:rsid w:val="00A51EFA"/>
    <w:rsid w:val="00A51F02"/>
    <w:rsid w:val="00A51F18"/>
    <w:rsid w:val="00A5231C"/>
    <w:rsid w:val="00A5244D"/>
    <w:rsid w:val="00A524C1"/>
    <w:rsid w:val="00A525F6"/>
    <w:rsid w:val="00A52D1B"/>
    <w:rsid w:val="00A52E23"/>
    <w:rsid w:val="00A52FB4"/>
    <w:rsid w:val="00A52FE3"/>
    <w:rsid w:val="00A53051"/>
    <w:rsid w:val="00A5311F"/>
    <w:rsid w:val="00A53237"/>
    <w:rsid w:val="00A5364B"/>
    <w:rsid w:val="00A53688"/>
    <w:rsid w:val="00A536E8"/>
    <w:rsid w:val="00A53980"/>
    <w:rsid w:val="00A53BE2"/>
    <w:rsid w:val="00A53C61"/>
    <w:rsid w:val="00A53CE1"/>
    <w:rsid w:val="00A53E72"/>
    <w:rsid w:val="00A53FFE"/>
    <w:rsid w:val="00A540CC"/>
    <w:rsid w:val="00A541B2"/>
    <w:rsid w:val="00A54223"/>
    <w:rsid w:val="00A543A5"/>
    <w:rsid w:val="00A54499"/>
    <w:rsid w:val="00A54663"/>
    <w:rsid w:val="00A546AA"/>
    <w:rsid w:val="00A54784"/>
    <w:rsid w:val="00A547CF"/>
    <w:rsid w:val="00A548AA"/>
    <w:rsid w:val="00A54E6E"/>
    <w:rsid w:val="00A54EC1"/>
    <w:rsid w:val="00A55219"/>
    <w:rsid w:val="00A5521E"/>
    <w:rsid w:val="00A5537E"/>
    <w:rsid w:val="00A554E8"/>
    <w:rsid w:val="00A55766"/>
    <w:rsid w:val="00A55847"/>
    <w:rsid w:val="00A55CDC"/>
    <w:rsid w:val="00A55CE1"/>
    <w:rsid w:val="00A55E47"/>
    <w:rsid w:val="00A55F6D"/>
    <w:rsid w:val="00A56946"/>
    <w:rsid w:val="00A56977"/>
    <w:rsid w:val="00A56BF1"/>
    <w:rsid w:val="00A56F9C"/>
    <w:rsid w:val="00A5703E"/>
    <w:rsid w:val="00A571CC"/>
    <w:rsid w:val="00A5735F"/>
    <w:rsid w:val="00A57393"/>
    <w:rsid w:val="00A573BC"/>
    <w:rsid w:val="00A57527"/>
    <w:rsid w:val="00A57679"/>
    <w:rsid w:val="00A576FF"/>
    <w:rsid w:val="00A57831"/>
    <w:rsid w:val="00A57AB7"/>
    <w:rsid w:val="00A57E50"/>
    <w:rsid w:val="00A57F0A"/>
    <w:rsid w:val="00A57F7A"/>
    <w:rsid w:val="00A601D1"/>
    <w:rsid w:val="00A6035D"/>
    <w:rsid w:val="00A604A4"/>
    <w:rsid w:val="00A6052F"/>
    <w:rsid w:val="00A605E9"/>
    <w:rsid w:val="00A606B5"/>
    <w:rsid w:val="00A60B81"/>
    <w:rsid w:val="00A60C77"/>
    <w:rsid w:val="00A60C7B"/>
    <w:rsid w:val="00A60D37"/>
    <w:rsid w:val="00A60F32"/>
    <w:rsid w:val="00A611D8"/>
    <w:rsid w:val="00A612F2"/>
    <w:rsid w:val="00A613A7"/>
    <w:rsid w:val="00A615C9"/>
    <w:rsid w:val="00A61637"/>
    <w:rsid w:val="00A6173A"/>
    <w:rsid w:val="00A6190F"/>
    <w:rsid w:val="00A61AF2"/>
    <w:rsid w:val="00A61EA1"/>
    <w:rsid w:val="00A61F5E"/>
    <w:rsid w:val="00A624C5"/>
    <w:rsid w:val="00A62812"/>
    <w:rsid w:val="00A6292E"/>
    <w:rsid w:val="00A62978"/>
    <w:rsid w:val="00A62C05"/>
    <w:rsid w:val="00A62CAE"/>
    <w:rsid w:val="00A62FCC"/>
    <w:rsid w:val="00A63A50"/>
    <w:rsid w:val="00A63F53"/>
    <w:rsid w:val="00A640ED"/>
    <w:rsid w:val="00A64194"/>
    <w:rsid w:val="00A642C5"/>
    <w:rsid w:val="00A64735"/>
    <w:rsid w:val="00A647AC"/>
    <w:rsid w:val="00A64889"/>
    <w:rsid w:val="00A648A3"/>
    <w:rsid w:val="00A648F1"/>
    <w:rsid w:val="00A648FC"/>
    <w:rsid w:val="00A649D4"/>
    <w:rsid w:val="00A6507E"/>
    <w:rsid w:val="00A651CB"/>
    <w:rsid w:val="00A65248"/>
    <w:rsid w:val="00A6549A"/>
    <w:rsid w:val="00A6549D"/>
    <w:rsid w:val="00A654CA"/>
    <w:rsid w:val="00A654FD"/>
    <w:rsid w:val="00A6550B"/>
    <w:rsid w:val="00A65598"/>
    <w:rsid w:val="00A65725"/>
    <w:rsid w:val="00A658F4"/>
    <w:rsid w:val="00A65A34"/>
    <w:rsid w:val="00A65A70"/>
    <w:rsid w:val="00A65B52"/>
    <w:rsid w:val="00A65BD1"/>
    <w:rsid w:val="00A65C17"/>
    <w:rsid w:val="00A65DEE"/>
    <w:rsid w:val="00A65ED6"/>
    <w:rsid w:val="00A65F8F"/>
    <w:rsid w:val="00A66034"/>
    <w:rsid w:val="00A66253"/>
    <w:rsid w:val="00A662A8"/>
    <w:rsid w:val="00A66496"/>
    <w:rsid w:val="00A664BA"/>
    <w:rsid w:val="00A66536"/>
    <w:rsid w:val="00A66557"/>
    <w:rsid w:val="00A666E8"/>
    <w:rsid w:val="00A66926"/>
    <w:rsid w:val="00A66B3A"/>
    <w:rsid w:val="00A66EBA"/>
    <w:rsid w:val="00A66EC1"/>
    <w:rsid w:val="00A66F7A"/>
    <w:rsid w:val="00A66FCA"/>
    <w:rsid w:val="00A66FFC"/>
    <w:rsid w:val="00A67056"/>
    <w:rsid w:val="00A670FB"/>
    <w:rsid w:val="00A67263"/>
    <w:rsid w:val="00A672AE"/>
    <w:rsid w:val="00A67386"/>
    <w:rsid w:val="00A6755C"/>
    <w:rsid w:val="00A67868"/>
    <w:rsid w:val="00A6798D"/>
    <w:rsid w:val="00A67A25"/>
    <w:rsid w:val="00A67A6A"/>
    <w:rsid w:val="00A67ADA"/>
    <w:rsid w:val="00A67CDD"/>
    <w:rsid w:val="00A67F45"/>
    <w:rsid w:val="00A701B8"/>
    <w:rsid w:val="00A704C4"/>
    <w:rsid w:val="00A70575"/>
    <w:rsid w:val="00A70BAC"/>
    <w:rsid w:val="00A70F4C"/>
    <w:rsid w:val="00A70FCB"/>
    <w:rsid w:val="00A7112C"/>
    <w:rsid w:val="00A7117E"/>
    <w:rsid w:val="00A71449"/>
    <w:rsid w:val="00A71458"/>
    <w:rsid w:val="00A71601"/>
    <w:rsid w:val="00A716F5"/>
    <w:rsid w:val="00A7182C"/>
    <w:rsid w:val="00A71D9A"/>
    <w:rsid w:val="00A71DB9"/>
    <w:rsid w:val="00A71F74"/>
    <w:rsid w:val="00A71F9B"/>
    <w:rsid w:val="00A72092"/>
    <w:rsid w:val="00A72112"/>
    <w:rsid w:val="00A722CD"/>
    <w:rsid w:val="00A72393"/>
    <w:rsid w:val="00A723B0"/>
    <w:rsid w:val="00A7284B"/>
    <w:rsid w:val="00A72997"/>
    <w:rsid w:val="00A72CF7"/>
    <w:rsid w:val="00A72E3F"/>
    <w:rsid w:val="00A7303E"/>
    <w:rsid w:val="00A73089"/>
    <w:rsid w:val="00A730C4"/>
    <w:rsid w:val="00A7335E"/>
    <w:rsid w:val="00A7336A"/>
    <w:rsid w:val="00A73395"/>
    <w:rsid w:val="00A7375F"/>
    <w:rsid w:val="00A738AF"/>
    <w:rsid w:val="00A73B03"/>
    <w:rsid w:val="00A73DF4"/>
    <w:rsid w:val="00A73FA4"/>
    <w:rsid w:val="00A7411B"/>
    <w:rsid w:val="00A7436F"/>
    <w:rsid w:val="00A74719"/>
    <w:rsid w:val="00A74850"/>
    <w:rsid w:val="00A74887"/>
    <w:rsid w:val="00A7494E"/>
    <w:rsid w:val="00A74976"/>
    <w:rsid w:val="00A74D80"/>
    <w:rsid w:val="00A75100"/>
    <w:rsid w:val="00A7582F"/>
    <w:rsid w:val="00A75A54"/>
    <w:rsid w:val="00A76035"/>
    <w:rsid w:val="00A76085"/>
    <w:rsid w:val="00A76164"/>
    <w:rsid w:val="00A76183"/>
    <w:rsid w:val="00A762FE"/>
    <w:rsid w:val="00A76362"/>
    <w:rsid w:val="00A766A4"/>
    <w:rsid w:val="00A76B1B"/>
    <w:rsid w:val="00A76B92"/>
    <w:rsid w:val="00A76C76"/>
    <w:rsid w:val="00A76EAE"/>
    <w:rsid w:val="00A77129"/>
    <w:rsid w:val="00A772E3"/>
    <w:rsid w:val="00A772E5"/>
    <w:rsid w:val="00A77453"/>
    <w:rsid w:val="00A775D2"/>
    <w:rsid w:val="00A77613"/>
    <w:rsid w:val="00A77655"/>
    <w:rsid w:val="00A77A63"/>
    <w:rsid w:val="00A77B9E"/>
    <w:rsid w:val="00A77C26"/>
    <w:rsid w:val="00A77D27"/>
    <w:rsid w:val="00A77E85"/>
    <w:rsid w:val="00A77F1C"/>
    <w:rsid w:val="00A8067B"/>
    <w:rsid w:val="00A80736"/>
    <w:rsid w:val="00A8093D"/>
    <w:rsid w:val="00A8097F"/>
    <w:rsid w:val="00A80AD9"/>
    <w:rsid w:val="00A80CA6"/>
    <w:rsid w:val="00A80CE4"/>
    <w:rsid w:val="00A80D17"/>
    <w:rsid w:val="00A80D1A"/>
    <w:rsid w:val="00A81008"/>
    <w:rsid w:val="00A8123A"/>
    <w:rsid w:val="00A8129E"/>
    <w:rsid w:val="00A81459"/>
    <w:rsid w:val="00A81951"/>
    <w:rsid w:val="00A81F62"/>
    <w:rsid w:val="00A82242"/>
    <w:rsid w:val="00A822EA"/>
    <w:rsid w:val="00A82540"/>
    <w:rsid w:val="00A8272B"/>
    <w:rsid w:val="00A8291A"/>
    <w:rsid w:val="00A82A36"/>
    <w:rsid w:val="00A82BD7"/>
    <w:rsid w:val="00A82D3B"/>
    <w:rsid w:val="00A82DBB"/>
    <w:rsid w:val="00A82E89"/>
    <w:rsid w:val="00A82FC6"/>
    <w:rsid w:val="00A83003"/>
    <w:rsid w:val="00A8335F"/>
    <w:rsid w:val="00A83745"/>
    <w:rsid w:val="00A83A91"/>
    <w:rsid w:val="00A83E14"/>
    <w:rsid w:val="00A83F50"/>
    <w:rsid w:val="00A83F5D"/>
    <w:rsid w:val="00A841E5"/>
    <w:rsid w:val="00A84273"/>
    <w:rsid w:val="00A84605"/>
    <w:rsid w:val="00A846D8"/>
    <w:rsid w:val="00A848D6"/>
    <w:rsid w:val="00A849E7"/>
    <w:rsid w:val="00A84ABA"/>
    <w:rsid w:val="00A84AFA"/>
    <w:rsid w:val="00A84B21"/>
    <w:rsid w:val="00A84CE0"/>
    <w:rsid w:val="00A84F36"/>
    <w:rsid w:val="00A84F68"/>
    <w:rsid w:val="00A8513F"/>
    <w:rsid w:val="00A85248"/>
    <w:rsid w:val="00A85981"/>
    <w:rsid w:val="00A85AFC"/>
    <w:rsid w:val="00A85CB1"/>
    <w:rsid w:val="00A85D22"/>
    <w:rsid w:val="00A85DE7"/>
    <w:rsid w:val="00A85EAF"/>
    <w:rsid w:val="00A860C6"/>
    <w:rsid w:val="00A863CA"/>
    <w:rsid w:val="00A86506"/>
    <w:rsid w:val="00A86724"/>
    <w:rsid w:val="00A86811"/>
    <w:rsid w:val="00A8685D"/>
    <w:rsid w:val="00A86864"/>
    <w:rsid w:val="00A86BA3"/>
    <w:rsid w:val="00A86CE5"/>
    <w:rsid w:val="00A86D1B"/>
    <w:rsid w:val="00A86D6B"/>
    <w:rsid w:val="00A86EDC"/>
    <w:rsid w:val="00A870F3"/>
    <w:rsid w:val="00A871BD"/>
    <w:rsid w:val="00A87313"/>
    <w:rsid w:val="00A87415"/>
    <w:rsid w:val="00A87666"/>
    <w:rsid w:val="00A877B3"/>
    <w:rsid w:val="00A87879"/>
    <w:rsid w:val="00A878B0"/>
    <w:rsid w:val="00A87A92"/>
    <w:rsid w:val="00A87AFF"/>
    <w:rsid w:val="00A87DA8"/>
    <w:rsid w:val="00A87E16"/>
    <w:rsid w:val="00A87FE3"/>
    <w:rsid w:val="00A90146"/>
    <w:rsid w:val="00A9017E"/>
    <w:rsid w:val="00A90281"/>
    <w:rsid w:val="00A90392"/>
    <w:rsid w:val="00A905A3"/>
    <w:rsid w:val="00A9066C"/>
    <w:rsid w:val="00A90BF3"/>
    <w:rsid w:val="00A90C2C"/>
    <w:rsid w:val="00A90EC2"/>
    <w:rsid w:val="00A90ECD"/>
    <w:rsid w:val="00A90F5C"/>
    <w:rsid w:val="00A91223"/>
    <w:rsid w:val="00A9132A"/>
    <w:rsid w:val="00A913C2"/>
    <w:rsid w:val="00A9143C"/>
    <w:rsid w:val="00A919E6"/>
    <w:rsid w:val="00A919F2"/>
    <w:rsid w:val="00A91A17"/>
    <w:rsid w:val="00A91FF2"/>
    <w:rsid w:val="00A9228D"/>
    <w:rsid w:val="00A92383"/>
    <w:rsid w:val="00A9263D"/>
    <w:rsid w:val="00A9275B"/>
    <w:rsid w:val="00A92765"/>
    <w:rsid w:val="00A92D76"/>
    <w:rsid w:val="00A92DA9"/>
    <w:rsid w:val="00A92DE4"/>
    <w:rsid w:val="00A930A2"/>
    <w:rsid w:val="00A931B9"/>
    <w:rsid w:val="00A9343F"/>
    <w:rsid w:val="00A9369D"/>
    <w:rsid w:val="00A93835"/>
    <w:rsid w:val="00A938D0"/>
    <w:rsid w:val="00A93B08"/>
    <w:rsid w:val="00A93C80"/>
    <w:rsid w:val="00A93CAF"/>
    <w:rsid w:val="00A93D6D"/>
    <w:rsid w:val="00A93DE5"/>
    <w:rsid w:val="00A93E83"/>
    <w:rsid w:val="00A94209"/>
    <w:rsid w:val="00A94355"/>
    <w:rsid w:val="00A9477C"/>
    <w:rsid w:val="00A94913"/>
    <w:rsid w:val="00A94ABD"/>
    <w:rsid w:val="00A94C02"/>
    <w:rsid w:val="00A94DB9"/>
    <w:rsid w:val="00A94E62"/>
    <w:rsid w:val="00A94F11"/>
    <w:rsid w:val="00A950DE"/>
    <w:rsid w:val="00A9524D"/>
    <w:rsid w:val="00A95320"/>
    <w:rsid w:val="00A953BC"/>
    <w:rsid w:val="00A953D7"/>
    <w:rsid w:val="00A955A1"/>
    <w:rsid w:val="00A957BE"/>
    <w:rsid w:val="00A95AAB"/>
    <w:rsid w:val="00A95AD6"/>
    <w:rsid w:val="00A9600F"/>
    <w:rsid w:val="00A96303"/>
    <w:rsid w:val="00A9637D"/>
    <w:rsid w:val="00A965A9"/>
    <w:rsid w:val="00A96791"/>
    <w:rsid w:val="00A967DB"/>
    <w:rsid w:val="00A96929"/>
    <w:rsid w:val="00A969C7"/>
    <w:rsid w:val="00A96D4C"/>
    <w:rsid w:val="00A97094"/>
    <w:rsid w:val="00A97179"/>
    <w:rsid w:val="00A97217"/>
    <w:rsid w:val="00A97242"/>
    <w:rsid w:val="00A97501"/>
    <w:rsid w:val="00A976FE"/>
    <w:rsid w:val="00A97985"/>
    <w:rsid w:val="00A979E3"/>
    <w:rsid w:val="00A97BF4"/>
    <w:rsid w:val="00A97E57"/>
    <w:rsid w:val="00AA00ED"/>
    <w:rsid w:val="00AA05AB"/>
    <w:rsid w:val="00AA07A5"/>
    <w:rsid w:val="00AA0ABF"/>
    <w:rsid w:val="00AA0D56"/>
    <w:rsid w:val="00AA1007"/>
    <w:rsid w:val="00AA122D"/>
    <w:rsid w:val="00AA1236"/>
    <w:rsid w:val="00AA1498"/>
    <w:rsid w:val="00AA1981"/>
    <w:rsid w:val="00AA19B5"/>
    <w:rsid w:val="00AA2351"/>
    <w:rsid w:val="00AA236E"/>
    <w:rsid w:val="00AA24A7"/>
    <w:rsid w:val="00AA256E"/>
    <w:rsid w:val="00AA2580"/>
    <w:rsid w:val="00AA26FC"/>
    <w:rsid w:val="00AA290E"/>
    <w:rsid w:val="00AA2957"/>
    <w:rsid w:val="00AA2964"/>
    <w:rsid w:val="00AA2D94"/>
    <w:rsid w:val="00AA2F9B"/>
    <w:rsid w:val="00AA307F"/>
    <w:rsid w:val="00AA32E6"/>
    <w:rsid w:val="00AA3650"/>
    <w:rsid w:val="00AA36F8"/>
    <w:rsid w:val="00AA3B6E"/>
    <w:rsid w:val="00AA3BB9"/>
    <w:rsid w:val="00AA3C62"/>
    <w:rsid w:val="00AA4207"/>
    <w:rsid w:val="00AA46C0"/>
    <w:rsid w:val="00AA47B1"/>
    <w:rsid w:val="00AA4B5B"/>
    <w:rsid w:val="00AA4F11"/>
    <w:rsid w:val="00AA507E"/>
    <w:rsid w:val="00AA5253"/>
    <w:rsid w:val="00AA5367"/>
    <w:rsid w:val="00AA542D"/>
    <w:rsid w:val="00AA54B1"/>
    <w:rsid w:val="00AA54CB"/>
    <w:rsid w:val="00AA5609"/>
    <w:rsid w:val="00AA57A2"/>
    <w:rsid w:val="00AA5808"/>
    <w:rsid w:val="00AA5ADE"/>
    <w:rsid w:val="00AA5BD7"/>
    <w:rsid w:val="00AA5E6D"/>
    <w:rsid w:val="00AA5E8E"/>
    <w:rsid w:val="00AA5E91"/>
    <w:rsid w:val="00AA5F42"/>
    <w:rsid w:val="00AA6268"/>
    <w:rsid w:val="00AA666D"/>
    <w:rsid w:val="00AA67E9"/>
    <w:rsid w:val="00AA6A78"/>
    <w:rsid w:val="00AA6B3C"/>
    <w:rsid w:val="00AA6B9B"/>
    <w:rsid w:val="00AA6ED8"/>
    <w:rsid w:val="00AA6F23"/>
    <w:rsid w:val="00AA72BD"/>
    <w:rsid w:val="00AA7CB4"/>
    <w:rsid w:val="00AB0050"/>
    <w:rsid w:val="00AB0239"/>
    <w:rsid w:val="00AB0521"/>
    <w:rsid w:val="00AB062A"/>
    <w:rsid w:val="00AB0D5F"/>
    <w:rsid w:val="00AB11D2"/>
    <w:rsid w:val="00AB132C"/>
    <w:rsid w:val="00AB1624"/>
    <w:rsid w:val="00AB1774"/>
    <w:rsid w:val="00AB18B1"/>
    <w:rsid w:val="00AB19CA"/>
    <w:rsid w:val="00AB1A6B"/>
    <w:rsid w:val="00AB1B9F"/>
    <w:rsid w:val="00AB1C0C"/>
    <w:rsid w:val="00AB1C3A"/>
    <w:rsid w:val="00AB1C5C"/>
    <w:rsid w:val="00AB1D83"/>
    <w:rsid w:val="00AB1F41"/>
    <w:rsid w:val="00AB25D9"/>
    <w:rsid w:val="00AB26AC"/>
    <w:rsid w:val="00AB28C5"/>
    <w:rsid w:val="00AB2A30"/>
    <w:rsid w:val="00AB2E40"/>
    <w:rsid w:val="00AB30E9"/>
    <w:rsid w:val="00AB3280"/>
    <w:rsid w:val="00AB3512"/>
    <w:rsid w:val="00AB360B"/>
    <w:rsid w:val="00AB36EE"/>
    <w:rsid w:val="00AB3776"/>
    <w:rsid w:val="00AB38EA"/>
    <w:rsid w:val="00AB3AE0"/>
    <w:rsid w:val="00AB3CD7"/>
    <w:rsid w:val="00AB3D30"/>
    <w:rsid w:val="00AB3E2F"/>
    <w:rsid w:val="00AB3FA7"/>
    <w:rsid w:val="00AB423D"/>
    <w:rsid w:val="00AB43F6"/>
    <w:rsid w:val="00AB45D4"/>
    <w:rsid w:val="00AB4635"/>
    <w:rsid w:val="00AB4DC8"/>
    <w:rsid w:val="00AB5322"/>
    <w:rsid w:val="00AB53C1"/>
    <w:rsid w:val="00AB5521"/>
    <w:rsid w:val="00AB5963"/>
    <w:rsid w:val="00AB598B"/>
    <w:rsid w:val="00AB5CFB"/>
    <w:rsid w:val="00AB63AF"/>
    <w:rsid w:val="00AB63C4"/>
    <w:rsid w:val="00AB63F5"/>
    <w:rsid w:val="00AB645C"/>
    <w:rsid w:val="00AB65A8"/>
    <w:rsid w:val="00AB65F4"/>
    <w:rsid w:val="00AB6651"/>
    <w:rsid w:val="00AB687C"/>
    <w:rsid w:val="00AB697E"/>
    <w:rsid w:val="00AB6B2B"/>
    <w:rsid w:val="00AB7056"/>
    <w:rsid w:val="00AB70D2"/>
    <w:rsid w:val="00AB70DC"/>
    <w:rsid w:val="00AB737A"/>
    <w:rsid w:val="00AB751A"/>
    <w:rsid w:val="00AB75FE"/>
    <w:rsid w:val="00AB76D5"/>
    <w:rsid w:val="00AB7C7A"/>
    <w:rsid w:val="00AB7E22"/>
    <w:rsid w:val="00AB7E65"/>
    <w:rsid w:val="00AB7F75"/>
    <w:rsid w:val="00AB7FB3"/>
    <w:rsid w:val="00AC0149"/>
    <w:rsid w:val="00AC01C3"/>
    <w:rsid w:val="00AC0273"/>
    <w:rsid w:val="00AC06F7"/>
    <w:rsid w:val="00AC0DA5"/>
    <w:rsid w:val="00AC0E41"/>
    <w:rsid w:val="00AC0EF2"/>
    <w:rsid w:val="00AC10EB"/>
    <w:rsid w:val="00AC12BC"/>
    <w:rsid w:val="00AC1427"/>
    <w:rsid w:val="00AC18BB"/>
    <w:rsid w:val="00AC1B0F"/>
    <w:rsid w:val="00AC1C2A"/>
    <w:rsid w:val="00AC1C52"/>
    <w:rsid w:val="00AC212E"/>
    <w:rsid w:val="00AC22A9"/>
    <w:rsid w:val="00AC2829"/>
    <w:rsid w:val="00AC2FC8"/>
    <w:rsid w:val="00AC315F"/>
    <w:rsid w:val="00AC349C"/>
    <w:rsid w:val="00AC3AFB"/>
    <w:rsid w:val="00AC3B69"/>
    <w:rsid w:val="00AC3B90"/>
    <w:rsid w:val="00AC3DB2"/>
    <w:rsid w:val="00AC3DB4"/>
    <w:rsid w:val="00AC409E"/>
    <w:rsid w:val="00AC470D"/>
    <w:rsid w:val="00AC48BB"/>
    <w:rsid w:val="00AC4EDC"/>
    <w:rsid w:val="00AC5489"/>
    <w:rsid w:val="00AC54D9"/>
    <w:rsid w:val="00AC5580"/>
    <w:rsid w:val="00AC5948"/>
    <w:rsid w:val="00AC5A9D"/>
    <w:rsid w:val="00AC5B82"/>
    <w:rsid w:val="00AC5BDE"/>
    <w:rsid w:val="00AC5DF2"/>
    <w:rsid w:val="00AC5EA6"/>
    <w:rsid w:val="00AC5F8C"/>
    <w:rsid w:val="00AC615C"/>
    <w:rsid w:val="00AC6450"/>
    <w:rsid w:val="00AC65E7"/>
    <w:rsid w:val="00AC6B0B"/>
    <w:rsid w:val="00AC6C80"/>
    <w:rsid w:val="00AC6FDC"/>
    <w:rsid w:val="00AC71B0"/>
    <w:rsid w:val="00AC7229"/>
    <w:rsid w:val="00AC725E"/>
    <w:rsid w:val="00AC7306"/>
    <w:rsid w:val="00AC736A"/>
    <w:rsid w:val="00AC7491"/>
    <w:rsid w:val="00AC7740"/>
    <w:rsid w:val="00AC7943"/>
    <w:rsid w:val="00AC7979"/>
    <w:rsid w:val="00AC79C7"/>
    <w:rsid w:val="00AC7A50"/>
    <w:rsid w:val="00AC7DF0"/>
    <w:rsid w:val="00AC7E32"/>
    <w:rsid w:val="00AC7E62"/>
    <w:rsid w:val="00AC7F25"/>
    <w:rsid w:val="00AC7FD5"/>
    <w:rsid w:val="00AD00E5"/>
    <w:rsid w:val="00AD031C"/>
    <w:rsid w:val="00AD0952"/>
    <w:rsid w:val="00AD0A8F"/>
    <w:rsid w:val="00AD0EE3"/>
    <w:rsid w:val="00AD1081"/>
    <w:rsid w:val="00AD1091"/>
    <w:rsid w:val="00AD1093"/>
    <w:rsid w:val="00AD1507"/>
    <w:rsid w:val="00AD1734"/>
    <w:rsid w:val="00AD1834"/>
    <w:rsid w:val="00AD19E0"/>
    <w:rsid w:val="00AD1A15"/>
    <w:rsid w:val="00AD1B6A"/>
    <w:rsid w:val="00AD1BC3"/>
    <w:rsid w:val="00AD21BA"/>
    <w:rsid w:val="00AD229B"/>
    <w:rsid w:val="00AD2343"/>
    <w:rsid w:val="00AD2516"/>
    <w:rsid w:val="00AD25D1"/>
    <w:rsid w:val="00AD2757"/>
    <w:rsid w:val="00AD276D"/>
    <w:rsid w:val="00AD285A"/>
    <w:rsid w:val="00AD29CB"/>
    <w:rsid w:val="00AD29F9"/>
    <w:rsid w:val="00AD2A4B"/>
    <w:rsid w:val="00AD2BE9"/>
    <w:rsid w:val="00AD2C8A"/>
    <w:rsid w:val="00AD2E14"/>
    <w:rsid w:val="00AD31B5"/>
    <w:rsid w:val="00AD31BB"/>
    <w:rsid w:val="00AD32BB"/>
    <w:rsid w:val="00AD3A05"/>
    <w:rsid w:val="00AD3CAD"/>
    <w:rsid w:val="00AD3E34"/>
    <w:rsid w:val="00AD3E58"/>
    <w:rsid w:val="00AD3EDB"/>
    <w:rsid w:val="00AD4198"/>
    <w:rsid w:val="00AD436F"/>
    <w:rsid w:val="00AD447A"/>
    <w:rsid w:val="00AD44F0"/>
    <w:rsid w:val="00AD45E4"/>
    <w:rsid w:val="00AD479E"/>
    <w:rsid w:val="00AD48C9"/>
    <w:rsid w:val="00AD49B9"/>
    <w:rsid w:val="00AD4B1A"/>
    <w:rsid w:val="00AD4FBD"/>
    <w:rsid w:val="00AD520F"/>
    <w:rsid w:val="00AD5459"/>
    <w:rsid w:val="00AD584A"/>
    <w:rsid w:val="00AD5D41"/>
    <w:rsid w:val="00AD5D99"/>
    <w:rsid w:val="00AD5EA1"/>
    <w:rsid w:val="00AD5F2D"/>
    <w:rsid w:val="00AD61BA"/>
    <w:rsid w:val="00AD6271"/>
    <w:rsid w:val="00AD6366"/>
    <w:rsid w:val="00AD6609"/>
    <w:rsid w:val="00AD6A34"/>
    <w:rsid w:val="00AD6A44"/>
    <w:rsid w:val="00AD6C99"/>
    <w:rsid w:val="00AD6D9F"/>
    <w:rsid w:val="00AD6DE5"/>
    <w:rsid w:val="00AD72D5"/>
    <w:rsid w:val="00AD7AE5"/>
    <w:rsid w:val="00AD7B64"/>
    <w:rsid w:val="00AD7EF5"/>
    <w:rsid w:val="00AD7F37"/>
    <w:rsid w:val="00AE0097"/>
    <w:rsid w:val="00AE0120"/>
    <w:rsid w:val="00AE018C"/>
    <w:rsid w:val="00AE02FB"/>
    <w:rsid w:val="00AE0303"/>
    <w:rsid w:val="00AE037A"/>
    <w:rsid w:val="00AE03FA"/>
    <w:rsid w:val="00AE0429"/>
    <w:rsid w:val="00AE061D"/>
    <w:rsid w:val="00AE063C"/>
    <w:rsid w:val="00AE0735"/>
    <w:rsid w:val="00AE085F"/>
    <w:rsid w:val="00AE0C8F"/>
    <w:rsid w:val="00AE0D76"/>
    <w:rsid w:val="00AE0F04"/>
    <w:rsid w:val="00AE0F54"/>
    <w:rsid w:val="00AE0F6F"/>
    <w:rsid w:val="00AE0F96"/>
    <w:rsid w:val="00AE1163"/>
    <w:rsid w:val="00AE1198"/>
    <w:rsid w:val="00AE125D"/>
    <w:rsid w:val="00AE169B"/>
    <w:rsid w:val="00AE16C6"/>
    <w:rsid w:val="00AE171A"/>
    <w:rsid w:val="00AE1864"/>
    <w:rsid w:val="00AE18B9"/>
    <w:rsid w:val="00AE20A7"/>
    <w:rsid w:val="00AE227B"/>
    <w:rsid w:val="00AE229A"/>
    <w:rsid w:val="00AE2388"/>
    <w:rsid w:val="00AE253B"/>
    <w:rsid w:val="00AE2594"/>
    <w:rsid w:val="00AE268E"/>
    <w:rsid w:val="00AE26DF"/>
    <w:rsid w:val="00AE2A5F"/>
    <w:rsid w:val="00AE2C2C"/>
    <w:rsid w:val="00AE2C4D"/>
    <w:rsid w:val="00AE2E57"/>
    <w:rsid w:val="00AE2F2B"/>
    <w:rsid w:val="00AE2F72"/>
    <w:rsid w:val="00AE3286"/>
    <w:rsid w:val="00AE35A2"/>
    <w:rsid w:val="00AE3665"/>
    <w:rsid w:val="00AE3672"/>
    <w:rsid w:val="00AE37B7"/>
    <w:rsid w:val="00AE3983"/>
    <w:rsid w:val="00AE3AFB"/>
    <w:rsid w:val="00AE3C43"/>
    <w:rsid w:val="00AE3EF4"/>
    <w:rsid w:val="00AE4145"/>
    <w:rsid w:val="00AE4158"/>
    <w:rsid w:val="00AE443E"/>
    <w:rsid w:val="00AE45F3"/>
    <w:rsid w:val="00AE464B"/>
    <w:rsid w:val="00AE4744"/>
    <w:rsid w:val="00AE4E57"/>
    <w:rsid w:val="00AE4EF7"/>
    <w:rsid w:val="00AE50B0"/>
    <w:rsid w:val="00AE5484"/>
    <w:rsid w:val="00AE591B"/>
    <w:rsid w:val="00AE5A44"/>
    <w:rsid w:val="00AE5B37"/>
    <w:rsid w:val="00AE5DD6"/>
    <w:rsid w:val="00AE5F03"/>
    <w:rsid w:val="00AE5F54"/>
    <w:rsid w:val="00AE61A0"/>
    <w:rsid w:val="00AE631E"/>
    <w:rsid w:val="00AE6323"/>
    <w:rsid w:val="00AE64D5"/>
    <w:rsid w:val="00AE6555"/>
    <w:rsid w:val="00AE6653"/>
    <w:rsid w:val="00AE66B7"/>
    <w:rsid w:val="00AE6811"/>
    <w:rsid w:val="00AE68FF"/>
    <w:rsid w:val="00AE6B07"/>
    <w:rsid w:val="00AE6D77"/>
    <w:rsid w:val="00AE6EE9"/>
    <w:rsid w:val="00AE7139"/>
    <w:rsid w:val="00AE717A"/>
    <w:rsid w:val="00AE73AF"/>
    <w:rsid w:val="00AE7418"/>
    <w:rsid w:val="00AE7573"/>
    <w:rsid w:val="00AE7735"/>
    <w:rsid w:val="00AE7BE7"/>
    <w:rsid w:val="00AE7D0F"/>
    <w:rsid w:val="00AF00DA"/>
    <w:rsid w:val="00AF00E6"/>
    <w:rsid w:val="00AF015E"/>
    <w:rsid w:val="00AF01F1"/>
    <w:rsid w:val="00AF05D3"/>
    <w:rsid w:val="00AF06DB"/>
    <w:rsid w:val="00AF0986"/>
    <w:rsid w:val="00AF1143"/>
    <w:rsid w:val="00AF11D2"/>
    <w:rsid w:val="00AF13AE"/>
    <w:rsid w:val="00AF13FA"/>
    <w:rsid w:val="00AF164B"/>
    <w:rsid w:val="00AF186B"/>
    <w:rsid w:val="00AF1875"/>
    <w:rsid w:val="00AF18B9"/>
    <w:rsid w:val="00AF1B0D"/>
    <w:rsid w:val="00AF1B1F"/>
    <w:rsid w:val="00AF1BBC"/>
    <w:rsid w:val="00AF1E08"/>
    <w:rsid w:val="00AF1FB5"/>
    <w:rsid w:val="00AF1FE1"/>
    <w:rsid w:val="00AF25A3"/>
    <w:rsid w:val="00AF287D"/>
    <w:rsid w:val="00AF2A08"/>
    <w:rsid w:val="00AF2A28"/>
    <w:rsid w:val="00AF2B40"/>
    <w:rsid w:val="00AF2B5D"/>
    <w:rsid w:val="00AF2B7F"/>
    <w:rsid w:val="00AF2B92"/>
    <w:rsid w:val="00AF2C7D"/>
    <w:rsid w:val="00AF2DF9"/>
    <w:rsid w:val="00AF2EC2"/>
    <w:rsid w:val="00AF2F70"/>
    <w:rsid w:val="00AF2FA6"/>
    <w:rsid w:val="00AF319A"/>
    <w:rsid w:val="00AF332E"/>
    <w:rsid w:val="00AF3382"/>
    <w:rsid w:val="00AF33A2"/>
    <w:rsid w:val="00AF3419"/>
    <w:rsid w:val="00AF3476"/>
    <w:rsid w:val="00AF351C"/>
    <w:rsid w:val="00AF361E"/>
    <w:rsid w:val="00AF3752"/>
    <w:rsid w:val="00AF38A7"/>
    <w:rsid w:val="00AF3AC9"/>
    <w:rsid w:val="00AF3BCA"/>
    <w:rsid w:val="00AF3CB2"/>
    <w:rsid w:val="00AF3E8C"/>
    <w:rsid w:val="00AF4070"/>
    <w:rsid w:val="00AF41D3"/>
    <w:rsid w:val="00AF43F3"/>
    <w:rsid w:val="00AF46B6"/>
    <w:rsid w:val="00AF4B96"/>
    <w:rsid w:val="00AF4CE2"/>
    <w:rsid w:val="00AF4F87"/>
    <w:rsid w:val="00AF5055"/>
    <w:rsid w:val="00AF5081"/>
    <w:rsid w:val="00AF50B6"/>
    <w:rsid w:val="00AF51D0"/>
    <w:rsid w:val="00AF57FC"/>
    <w:rsid w:val="00AF590B"/>
    <w:rsid w:val="00AF5AEF"/>
    <w:rsid w:val="00AF5D28"/>
    <w:rsid w:val="00AF611C"/>
    <w:rsid w:val="00AF6284"/>
    <w:rsid w:val="00AF63AC"/>
    <w:rsid w:val="00AF63E5"/>
    <w:rsid w:val="00AF649B"/>
    <w:rsid w:val="00AF65BD"/>
    <w:rsid w:val="00AF66B3"/>
    <w:rsid w:val="00AF6B65"/>
    <w:rsid w:val="00AF6D56"/>
    <w:rsid w:val="00AF6DD7"/>
    <w:rsid w:val="00AF760F"/>
    <w:rsid w:val="00AF76A4"/>
    <w:rsid w:val="00AF771E"/>
    <w:rsid w:val="00AF7A27"/>
    <w:rsid w:val="00AF7AD7"/>
    <w:rsid w:val="00AF7B3C"/>
    <w:rsid w:val="00AF7BF2"/>
    <w:rsid w:val="00AF7E71"/>
    <w:rsid w:val="00B0015D"/>
    <w:rsid w:val="00B0023F"/>
    <w:rsid w:val="00B00570"/>
    <w:rsid w:val="00B00A2F"/>
    <w:rsid w:val="00B00B07"/>
    <w:rsid w:val="00B00FBB"/>
    <w:rsid w:val="00B0116F"/>
    <w:rsid w:val="00B01361"/>
    <w:rsid w:val="00B01502"/>
    <w:rsid w:val="00B015DA"/>
    <w:rsid w:val="00B0186A"/>
    <w:rsid w:val="00B01911"/>
    <w:rsid w:val="00B01BA3"/>
    <w:rsid w:val="00B01E77"/>
    <w:rsid w:val="00B01FB0"/>
    <w:rsid w:val="00B02094"/>
    <w:rsid w:val="00B020BB"/>
    <w:rsid w:val="00B023C8"/>
    <w:rsid w:val="00B02455"/>
    <w:rsid w:val="00B0256B"/>
    <w:rsid w:val="00B027ED"/>
    <w:rsid w:val="00B028FF"/>
    <w:rsid w:val="00B02CD3"/>
    <w:rsid w:val="00B02E3A"/>
    <w:rsid w:val="00B02E88"/>
    <w:rsid w:val="00B02EE0"/>
    <w:rsid w:val="00B02F07"/>
    <w:rsid w:val="00B0345F"/>
    <w:rsid w:val="00B03AD4"/>
    <w:rsid w:val="00B03F72"/>
    <w:rsid w:val="00B04022"/>
    <w:rsid w:val="00B0416C"/>
    <w:rsid w:val="00B04221"/>
    <w:rsid w:val="00B0423E"/>
    <w:rsid w:val="00B04382"/>
    <w:rsid w:val="00B04527"/>
    <w:rsid w:val="00B04857"/>
    <w:rsid w:val="00B04E4D"/>
    <w:rsid w:val="00B04EED"/>
    <w:rsid w:val="00B05168"/>
    <w:rsid w:val="00B053C2"/>
    <w:rsid w:val="00B056C0"/>
    <w:rsid w:val="00B05906"/>
    <w:rsid w:val="00B05A0C"/>
    <w:rsid w:val="00B05BC8"/>
    <w:rsid w:val="00B05DD9"/>
    <w:rsid w:val="00B05E2F"/>
    <w:rsid w:val="00B0628B"/>
    <w:rsid w:val="00B06884"/>
    <w:rsid w:val="00B06AA9"/>
    <w:rsid w:val="00B06FD6"/>
    <w:rsid w:val="00B072AC"/>
    <w:rsid w:val="00B077B4"/>
    <w:rsid w:val="00B07BEF"/>
    <w:rsid w:val="00B07CA6"/>
    <w:rsid w:val="00B07E88"/>
    <w:rsid w:val="00B101A0"/>
    <w:rsid w:val="00B102D3"/>
    <w:rsid w:val="00B106DA"/>
    <w:rsid w:val="00B10B7C"/>
    <w:rsid w:val="00B10C44"/>
    <w:rsid w:val="00B10F79"/>
    <w:rsid w:val="00B10FC6"/>
    <w:rsid w:val="00B11018"/>
    <w:rsid w:val="00B1111A"/>
    <w:rsid w:val="00B1146B"/>
    <w:rsid w:val="00B11552"/>
    <w:rsid w:val="00B116D7"/>
    <w:rsid w:val="00B11706"/>
    <w:rsid w:val="00B11773"/>
    <w:rsid w:val="00B11880"/>
    <w:rsid w:val="00B1191E"/>
    <w:rsid w:val="00B11AAC"/>
    <w:rsid w:val="00B11C08"/>
    <w:rsid w:val="00B11C45"/>
    <w:rsid w:val="00B11D28"/>
    <w:rsid w:val="00B11DF0"/>
    <w:rsid w:val="00B120F2"/>
    <w:rsid w:val="00B12202"/>
    <w:rsid w:val="00B12431"/>
    <w:rsid w:val="00B12712"/>
    <w:rsid w:val="00B12977"/>
    <w:rsid w:val="00B12CF0"/>
    <w:rsid w:val="00B12FC2"/>
    <w:rsid w:val="00B13172"/>
    <w:rsid w:val="00B13420"/>
    <w:rsid w:val="00B135A5"/>
    <w:rsid w:val="00B13819"/>
    <w:rsid w:val="00B1383C"/>
    <w:rsid w:val="00B13981"/>
    <w:rsid w:val="00B139EB"/>
    <w:rsid w:val="00B13AEA"/>
    <w:rsid w:val="00B13D13"/>
    <w:rsid w:val="00B13D38"/>
    <w:rsid w:val="00B13EA2"/>
    <w:rsid w:val="00B13F4A"/>
    <w:rsid w:val="00B14120"/>
    <w:rsid w:val="00B14271"/>
    <w:rsid w:val="00B14561"/>
    <w:rsid w:val="00B1469F"/>
    <w:rsid w:val="00B146EF"/>
    <w:rsid w:val="00B14886"/>
    <w:rsid w:val="00B148DE"/>
    <w:rsid w:val="00B14BA4"/>
    <w:rsid w:val="00B14C99"/>
    <w:rsid w:val="00B14D17"/>
    <w:rsid w:val="00B14EB1"/>
    <w:rsid w:val="00B152B7"/>
    <w:rsid w:val="00B1536A"/>
    <w:rsid w:val="00B156F3"/>
    <w:rsid w:val="00B15707"/>
    <w:rsid w:val="00B1594D"/>
    <w:rsid w:val="00B15A05"/>
    <w:rsid w:val="00B15C31"/>
    <w:rsid w:val="00B15CCB"/>
    <w:rsid w:val="00B15D76"/>
    <w:rsid w:val="00B15FD5"/>
    <w:rsid w:val="00B15FE2"/>
    <w:rsid w:val="00B16027"/>
    <w:rsid w:val="00B16338"/>
    <w:rsid w:val="00B166DB"/>
    <w:rsid w:val="00B16D13"/>
    <w:rsid w:val="00B16EB1"/>
    <w:rsid w:val="00B16F40"/>
    <w:rsid w:val="00B16FB4"/>
    <w:rsid w:val="00B16FDA"/>
    <w:rsid w:val="00B1700F"/>
    <w:rsid w:val="00B1710D"/>
    <w:rsid w:val="00B1748C"/>
    <w:rsid w:val="00B174F8"/>
    <w:rsid w:val="00B1763A"/>
    <w:rsid w:val="00B177E5"/>
    <w:rsid w:val="00B17A8D"/>
    <w:rsid w:val="00B17AF8"/>
    <w:rsid w:val="00B200B5"/>
    <w:rsid w:val="00B20467"/>
    <w:rsid w:val="00B2058E"/>
    <w:rsid w:val="00B2077F"/>
    <w:rsid w:val="00B20A9D"/>
    <w:rsid w:val="00B20BF1"/>
    <w:rsid w:val="00B20F83"/>
    <w:rsid w:val="00B21269"/>
    <w:rsid w:val="00B2138C"/>
    <w:rsid w:val="00B2147E"/>
    <w:rsid w:val="00B215A7"/>
    <w:rsid w:val="00B21DC6"/>
    <w:rsid w:val="00B220CD"/>
    <w:rsid w:val="00B224D2"/>
    <w:rsid w:val="00B2253E"/>
    <w:rsid w:val="00B2255A"/>
    <w:rsid w:val="00B228E1"/>
    <w:rsid w:val="00B22A8C"/>
    <w:rsid w:val="00B22AD7"/>
    <w:rsid w:val="00B22C3F"/>
    <w:rsid w:val="00B22CAB"/>
    <w:rsid w:val="00B22E09"/>
    <w:rsid w:val="00B23268"/>
    <w:rsid w:val="00B23562"/>
    <w:rsid w:val="00B236B1"/>
    <w:rsid w:val="00B236B8"/>
    <w:rsid w:val="00B239C8"/>
    <w:rsid w:val="00B23A19"/>
    <w:rsid w:val="00B23AD6"/>
    <w:rsid w:val="00B23BB6"/>
    <w:rsid w:val="00B23F37"/>
    <w:rsid w:val="00B24000"/>
    <w:rsid w:val="00B244AE"/>
    <w:rsid w:val="00B244BF"/>
    <w:rsid w:val="00B249DD"/>
    <w:rsid w:val="00B24B06"/>
    <w:rsid w:val="00B24B28"/>
    <w:rsid w:val="00B24CD9"/>
    <w:rsid w:val="00B24F2E"/>
    <w:rsid w:val="00B252FB"/>
    <w:rsid w:val="00B25C04"/>
    <w:rsid w:val="00B25D9F"/>
    <w:rsid w:val="00B25F37"/>
    <w:rsid w:val="00B25FC1"/>
    <w:rsid w:val="00B2652D"/>
    <w:rsid w:val="00B267A2"/>
    <w:rsid w:val="00B268C8"/>
    <w:rsid w:val="00B268E7"/>
    <w:rsid w:val="00B26928"/>
    <w:rsid w:val="00B2699D"/>
    <w:rsid w:val="00B26C7E"/>
    <w:rsid w:val="00B26F17"/>
    <w:rsid w:val="00B26FF7"/>
    <w:rsid w:val="00B2707A"/>
    <w:rsid w:val="00B2709C"/>
    <w:rsid w:val="00B271C9"/>
    <w:rsid w:val="00B27273"/>
    <w:rsid w:val="00B27440"/>
    <w:rsid w:val="00B276AF"/>
    <w:rsid w:val="00B27FFB"/>
    <w:rsid w:val="00B3004A"/>
    <w:rsid w:val="00B3031D"/>
    <w:rsid w:val="00B303EA"/>
    <w:rsid w:val="00B305E9"/>
    <w:rsid w:val="00B307E2"/>
    <w:rsid w:val="00B30D1B"/>
    <w:rsid w:val="00B3143D"/>
    <w:rsid w:val="00B31454"/>
    <w:rsid w:val="00B314D2"/>
    <w:rsid w:val="00B315A0"/>
    <w:rsid w:val="00B3160E"/>
    <w:rsid w:val="00B317D1"/>
    <w:rsid w:val="00B31825"/>
    <w:rsid w:val="00B31A3C"/>
    <w:rsid w:val="00B31C3A"/>
    <w:rsid w:val="00B3201E"/>
    <w:rsid w:val="00B3215F"/>
    <w:rsid w:val="00B32192"/>
    <w:rsid w:val="00B32347"/>
    <w:rsid w:val="00B323A8"/>
    <w:rsid w:val="00B328E2"/>
    <w:rsid w:val="00B32DF4"/>
    <w:rsid w:val="00B32DFE"/>
    <w:rsid w:val="00B32E36"/>
    <w:rsid w:val="00B32FFA"/>
    <w:rsid w:val="00B33230"/>
    <w:rsid w:val="00B33377"/>
    <w:rsid w:val="00B33435"/>
    <w:rsid w:val="00B33AAD"/>
    <w:rsid w:val="00B33B93"/>
    <w:rsid w:val="00B33B9C"/>
    <w:rsid w:val="00B33CA1"/>
    <w:rsid w:val="00B33D8C"/>
    <w:rsid w:val="00B33DC3"/>
    <w:rsid w:val="00B33FE8"/>
    <w:rsid w:val="00B34348"/>
    <w:rsid w:val="00B34465"/>
    <w:rsid w:val="00B348EE"/>
    <w:rsid w:val="00B34A74"/>
    <w:rsid w:val="00B34C07"/>
    <w:rsid w:val="00B34DEE"/>
    <w:rsid w:val="00B34F53"/>
    <w:rsid w:val="00B351BD"/>
    <w:rsid w:val="00B3521F"/>
    <w:rsid w:val="00B35433"/>
    <w:rsid w:val="00B355AA"/>
    <w:rsid w:val="00B356FC"/>
    <w:rsid w:val="00B359FA"/>
    <w:rsid w:val="00B35A75"/>
    <w:rsid w:val="00B35E58"/>
    <w:rsid w:val="00B35EEE"/>
    <w:rsid w:val="00B367B7"/>
    <w:rsid w:val="00B36854"/>
    <w:rsid w:val="00B36DA7"/>
    <w:rsid w:val="00B36E80"/>
    <w:rsid w:val="00B37482"/>
    <w:rsid w:val="00B37513"/>
    <w:rsid w:val="00B378F1"/>
    <w:rsid w:val="00B37A15"/>
    <w:rsid w:val="00B37BD5"/>
    <w:rsid w:val="00B37E3A"/>
    <w:rsid w:val="00B40008"/>
    <w:rsid w:val="00B4005B"/>
    <w:rsid w:val="00B40310"/>
    <w:rsid w:val="00B40367"/>
    <w:rsid w:val="00B404EC"/>
    <w:rsid w:val="00B40644"/>
    <w:rsid w:val="00B40657"/>
    <w:rsid w:val="00B40779"/>
    <w:rsid w:val="00B409A9"/>
    <w:rsid w:val="00B40A70"/>
    <w:rsid w:val="00B40D3D"/>
    <w:rsid w:val="00B41228"/>
    <w:rsid w:val="00B412FB"/>
    <w:rsid w:val="00B413C0"/>
    <w:rsid w:val="00B414D9"/>
    <w:rsid w:val="00B414EA"/>
    <w:rsid w:val="00B41586"/>
    <w:rsid w:val="00B416F6"/>
    <w:rsid w:val="00B4176F"/>
    <w:rsid w:val="00B417F5"/>
    <w:rsid w:val="00B4185B"/>
    <w:rsid w:val="00B41AF6"/>
    <w:rsid w:val="00B41B94"/>
    <w:rsid w:val="00B41CC2"/>
    <w:rsid w:val="00B41E98"/>
    <w:rsid w:val="00B41F23"/>
    <w:rsid w:val="00B41FF3"/>
    <w:rsid w:val="00B42044"/>
    <w:rsid w:val="00B421B2"/>
    <w:rsid w:val="00B42260"/>
    <w:rsid w:val="00B423D3"/>
    <w:rsid w:val="00B42948"/>
    <w:rsid w:val="00B42C6F"/>
    <w:rsid w:val="00B42C84"/>
    <w:rsid w:val="00B42D02"/>
    <w:rsid w:val="00B42DC6"/>
    <w:rsid w:val="00B42E79"/>
    <w:rsid w:val="00B42F28"/>
    <w:rsid w:val="00B43446"/>
    <w:rsid w:val="00B43589"/>
    <w:rsid w:val="00B435F7"/>
    <w:rsid w:val="00B43630"/>
    <w:rsid w:val="00B43631"/>
    <w:rsid w:val="00B43DFE"/>
    <w:rsid w:val="00B43EC9"/>
    <w:rsid w:val="00B43F2B"/>
    <w:rsid w:val="00B445B7"/>
    <w:rsid w:val="00B447CF"/>
    <w:rsid w:val="00B44814"/>
    <w:rsid w:val="00B44A22"/>
    <w:rsid w:val="00B4579A"/>
    <w:rsid w:val="00B457A5"/>
    <w:rsid w:val="00B4585E"/>
    <w:rsid w:val="00B45C2F"/>
    <w:rsid w:val="00B45C8C"/>
    <w:rsid w:val="00B45E15"/>
    <w:rsid w:val="00B45FA0"/>
    <w:rsid w:val="00B460AB"/>
    <w:rsid w:val="00B461AE"/>
    <w:rsid w:val="00B461D4"/>
    <w:rsid w:val="00B46551"/>
    <w:rsid w:val="00B465B9"/>
    <w:rsid w:val="00B46A17"/>
    <w:rsid w:val="00B46C85"/>
    <w:rsid w:val="00B46C9E"/>
    <w:rsid w:val="00B47147"/>
    <w:rsid w:val="00B47544"/>
    <w:rsid w:val="00B475C0"/>
    <w:rsid w:val="00B4768B"/>
    <w:rsid w:val="00B47E8A"/>
    <w:rsid w:val="00B503C2"/>
    <w:rsid w:val="00B503C5"/>
    <w:rsid w:val="00B50447"/>
    <w:rsid w:val="00B5065B"/>
    <w:rsid w:val="00B50884"/>
    <w:rsid w:val="00B509FF"/>
    <w:rsid w:val="00B50B59"/>
    <w:rsid w:val="00B50D46"/>
    <w:rsid w:val="00B50EAD"/>
    <w:rsid w:val="00B50F7F"/>
    <w:rsid w:val="00B50FFB"/>
    <w:rsid w:val="00B5112E"/>
    <w:rsid w:val="00B51138"/>
    <w:rsid w:val="00B51163"/>
    <w:rsid w:val="00B51349"/>
    <w:rsid w:val="00B513A9"/>
    <w:rsid w:val="00B513E7"/>
    <w:rsid w:val="00B515BA"/>
    <w:rsid w:val="00B515E7"/>
    <w:rsid w:val="00B51662"/>
    <w:rsid w:val="00B5170C"/>
    <w:rsid w:val="00B517BC"/>
    <w:rsid w:val="00B51A1B"/>
    <w:rsid w:val="00B51D0D"/>
    <w:rsid w:val="00B51D3F"/>
    <w:rsid w:val="00B51F3B"/>
    <w:rsid w:val="00B5226F"/>
    <w:rsid w:val="00B52309"/>
    <w:rsid w:val="00B52458"/>
    <w:rsid w:val="00B52891"/>
    <w:rsid w:val="00B52AB3"/>
    <w:rsid w:val="00B52CB3"/>
    <w:rsid w:val="00B52D88"/>
    <w:rsid w:val="00B52DD6"/>
    <w:rsid w:val="00B52E6C"/>
    <w:rsid w:val="00B53116"/>
    <w:rsid w:val="00B53317"/>
    <w:rsid w:val="00B53646"/>
    <w:rsid w:val="00B53B80"/>
    <w:rsid w:val="00B53CA2"/>
    <w:rsid w:val="00B53DA5"/>
    <w:rsid w:val="00B5405C"/>
    <w:rsid w:val="00B542B1"/>
    <w:rsid w:val="00B54438"/>
    <w:rsid w:val="00B546E8"/>
    <w:rsid w:val="00B5475E"/>
    <w:rsid w:val="00B549A2"/>
    <w:rsid w:val="00B54B7A"/>
    <w:rsid w:val="00B54BD3"/>
    <w:rsid w:val="00B54C64"/>
    <w:rsid w:val="00B55046"/>
    <w:rsid w:val="00B5522C"/>
    <w:rsid w:val="00B55378"/>
    <w:rsid w:val="00B55436"/>
    <w:rsid w:val="00B5546F"/>
    <w:rsid w:val="00B554C7"/>
    <w:rsid w:val="00B55559"/>
    <w:rsid w:val="00B5558B"/>
    <w:rsid w:val="00B55601"/>
    <w:rsid w:val="00B55865"/>
    <w:rsid w:val="00B55A3B"/>
    <w:rsid w:val="00B55A76"/>
    <w:rsid w:val="00B55AF6"/>
    <w:rsid w:val="00B55E65"/>
    <w:rsid w:val="00B55F4C"/>
    <w:rsid w:val="00B56161"/>
    <w:rsid w:val="00B56202"/>
    <w:rsid w:val="00B56317"/>
    <w:rsid w:val="00B564CB"/>
    <w:rsid w:val="00B5704C"/>
    <w:rsid w:val="00B5724C"/>
    <w:rsid w:val="00B57320"/>
    <w:rsid w:val="00B573B9"/>
    <w:rsid w:val="00B57724"/>
    <w:rsid w:val="00B57AF5"/>
    <w:rsid w:val="00B57B79"/>
    <w:rsid w:val="00B57DBB"/>
    <w:rsid w:val="00B57EB1"/>
    <w:rsid w:val="00B57EC3"/>
    <w:rsid w:val="00B6013B"/>
    <w:rsid w:val="00B601D4"/>
    <w:rsid w:val="00B60535"/>
    <w:rsid w:val="00B60968"/>
    <w:rsid w:val="00B609D9"/>
    <w:rsid w:val="00B60C69"/>
    <w:rsid w:val="00B60E06"/>
    <w:rsid w:val="00B60EDB"/>
    <w:rsid w:val="00B61034"/>
    <w:rsid w:val="00B610E3"/>
    <w:rsid w:val="00B61705"/>
    <w:rsid w:val="00B6173A"/>
    <w:rsid w:val="00B6179C"/>
    <w:rsid w:val="00B6181A"/>
    <w:rsid w:val="00B61917"/>
    <w:rsid w:val="00B61968"/>
    <w:rsid w:val="00B61A26"/>
    <w:rsid w:val="00B61AC5"/>
    <w:rsid w:val="00B61B0A"/>
    <w:rsid w:val="00B61F41"/>
    <w:rsid w:val="00B623F2"/>
    <w:rsid w:val="00B62489"/>
    <w:rsid w:val="00B625F6"/>
    <w:rsid w:val="00B62641"/>
    <w:rsid w:val="00B62730"/>
    <w:rsid w:val="00B62A96"/>
    <w:rsid w:val="00B62CE2"/>
    <w:rsid w:val="00B62D5F"/>
    <w:rsid w:val="00B62DAE"/>
    <w:rsid w:val="00B62EB2"/>
    <w:rsid w:val="00B62F20"/>
    <w:rsid w:val="00B6313C"/>
    <w:rsid w:val="00B63231"/>
    <w:rsid w:val="00B635CE"/>
    <w:rsid w:val="00B63EB8"/>
    <w:rsid w:val="00B63EEA"/>
    <w:rsid w:val="00B63F36"/>
    <w:rsid w:val="00B63F4C"/>
    <w:rsid w:val="00B640D5"/>
    <w:rsid w:val="00B6416A"/>
    <w:rsid w:val="00B64341"/>
    <w:rsid w:val="00B6455D"/>
    <w:rsid w:val="00B6476B"/>
    <w:rsid w:val="00B64817"/>
    <w:rsid w:val="00B64AE6"/>
    <w:rsid w:val="00B64C86"/>
    <w:rsid w:val="00B64EF1"/>
    <w:rsid w:val="00B64F05"/>
    <w:rsid w:val="00B6539A"/>
    <w:rsid w:val="00B6544A"/>
    <w:rsid w:val="00B654E9"/>
    <w:rsid w:val="00B655D9"/>
    <w:rsid w:val="00B6566D"/>
    <w:rsid w:val="00B6574F"/>
    <w:rsid w:val="00B65A03"/>
    <w:rsid w:val="00B65AD5"/>
    <w:rsid w:val="00B65AF0"/>
    <w:rsid w:val="00B65EAB"/>
    <w:rsid w:val="00B65F74"/>
    <w:rsid w:val="00B66421"/>
    <w:rsid w:val="00B6652C"/>
    <w:rsid w:val="00B66538"/>
    <w:rsid w:val="00B6665F"/>
    <w:rsid w:val="00B66823"/>
    <w:rsid w:val="00B668B3"/>
    <w:rsid w:val="00B66F00"/>
    <w:rsid w:val="00B6705F"/>
    <w:rsid w:val="00B67112"/>
    <w:rsid w:val="00B67442"/>
    <w:rsid w:val="00B6745F"/>
    <w:rsid w:val="00B674AC"/>
    <w:rsid w:val="00B6755D"/>
    <w:rsid w:val="00B67790"/>
    <w:rsid w:val="00B67876"/>
    <w:rsid w:val="00B67BEB"/>
    <w:rsid w:val="00B67D57"/>
    <w:rsid w:val="00B70001"/>
    <w:rsid w:val="00B70156"/>
    <w:rsid w:val="00B70176"/>
    <w:rsid w:val="00B705C7"/>
    <w:rsid w:val="00B705C9"/>
    <w:rsid w:val="00B705D0"/>
    <w:rsid w:val="00B709A7"/>
    <w:rsid w:val="00B70D15"/>
    <w:rsid w:val="00B70D44"/>
    <w:rsid w:val="00B70DF7"/>
    <w:rsid w:val="00B71048"/>
    <w:rsid w:val="00B71774"/>
    <w:rsid w:val="00B717A4"/>
    <w:rsid w:val="00B71C03"/>
    <w:rsid w:val="00B7208E"/>
    <w:rsid w:val="00B72129"/>
    <w:rsid w:val="00B72394"/>
    <w:rsid w:val="00B72397"/>
    <w:rsid w:val="00B7267D"/>
    <w:rsid w:val="00B7282E"/>
    <w:rsid w:val="00B72A96"/>
    <w:rsid w:val="00B72AB0"/>
    <w:rsid w:val="00B72C10"/>
    <w:rsid w:val="00B72CE5"/>
    <w:rsid w:val="00B72D15"/>
    <w:rsid w:val="00B72DF8"/>
    <w:rsid w:val="00B72F48"/>
    <w:rsid w:val="00B72FFB"/>
    <w:rsid w:val="00B73120"/>
    <w:rsid w:val="00B735DA"/>
    <w:rsid w:val="00B737C0"/>
    <w:rsid w:val="00B737D4"/>
    <w:rsid w:val="00B7388B"/>
    <w:rsid w:val="00B739FF"/>
    <w:rsid w:val="00B73C5B"/>
    <w:rsid w:val="00B73C80"/>
    <w:rsid w:val="00B73E05"/>
    <w:rsid w:val="00B73EF2"/>
    <w:rsid w:val="00B7403B"/>
    <w:rsid w:val="00B740F9"/>
    <w:rsid w:val="00B74487"/>
    <w:rsid w:val="00B74640"/>
    <w:rsid w:val="00B74727"/>
    <w:rsid w:val="00B748C0"/>
    <w:rsid w:val="00B74951"/>
    <w:rsid w:val="00B749BB"/>
    <w:rsid w:val="00B74F8E"/>
    <w:rsid w:val="00B74F99"/>
    <w:rsid w:val="00B752AC"/>
    <w:rsid w:val="00B752ED"/>
    <w:rsid w:val="00B752F7"/>
    <w:rsid w:val="00B755AE"/>
    <w:rsid w:val="00B75C09"/>
    <w:rsid w:val="00B75CE4"/>
    <w:rsid w:val="00B75D60"/>
    <w:rsid w:val="00B75D88"/>
    <w:rsid w:val="00B7609F"/>
    <w:rsid w:val="00B761BD"/>
    <w:rsid w:val="00B7636A"/>
    <w:rsid w:val="00B765B7"/>
    <w:rsid w:val="00B768B4"/>
    <w:rsid w:val="00B76ADB"/>
    <w:rsid w:val="00B76B03"/>
    <w:rsid w:val="00B76BF8"/>
    <w:rsid w:val="00B77006"/>
    <w:rsid w:val="00B7708C"/>
    <w:rsid w:val="00B77183"/>
    <w:rsid w:val="00B7766C"/>
    <w:rsid w:val="00B77A0C"/>
    <w:rsid w:val="00B80088"/>
    <w:rsid w:val="00B8008B"/>
    <w:rsid w:val="00B8067D"/>
    <w:rsid w:val="00B8071B"/>
    <w:rsid w:val="00B80A5B"/>
    <w:rsid w:val="00B80C5E"/>
    <w:rsid w:val="00B80E02"/>
    <w:rsid w:val="00B8108E"/>
    <w:rsid w:val="00B810A2"/>
    <w:rsid w:val="00B81719"/>
    <w:rsid w:val="00B81929"/>
    <w:rsid w:val="00B819F6"/>
    <w:rsid w:val="00B81BFA"/>
    <w:rsid w:val="00B81DED"/>
    <w:rsid w:val="00B81F35"/>
    <w:rsid w:val="00B81FB8"/>
    <w:rsid w:val="00B82363"/>
    <w:rsid w:val="00B824E1"/>
    <w:rsid w:val="00B8279B"/>
    <w:rsid w:val="00B829BF"/>
    <w:rsid w:val="00B82AC7"/>
    <w:rsid w:val="00B83121"/>
    <w:rsid w:val="00B833EE"/>
    <w:rsid w:val="00B83AE7"/>
    <w:rsid w:val="00B83FA7"/>
    <w:rsid w:val="00B83FCE"/>
    <w:rsid w:val="00B843D7"/>
    <w:rsid w:val="00B8498E"/>
    <w:rsid w:val="00B84CB7"/>
    <w:rsid w:val="00B84F55"/>
    <w:rsid w:val="00B85313"/>
    <w:rsid w:val="00B854BD"/>
    <w:rsid w:val="00B8551A"/>
    <w:rsid w:val="00B85D4C"/>
    <w:rsid w:val="00B860C7"/>
    <w:rsid w:val="00B86134"/>
    <w:rsid w:val="00B8619E"/>
    <w:rsid w:val="00B8629A"/>
    <w:rsid w:val="00B8635C"/>
    <w:rsid w:val="00B8635D"/>
    <w:rsid w:val="00B86813"/>
    <w:rsid w:val="00B8684B"/>
    <w:rsid w:val="00B86AB5"/>
    <w:rsid w:val="00B86C01"/>
    <w:rsid w:val="00B86C7B"/>
    <w:rsid w:val="00B8725C"/>
    <w:rsid w:val="00B8795F"/>
    <w:rsid w:val="00B879EB"/>
    <w:rsid w:val="00B87B22"/>
    <w:rsid w:val="00B87CA8"/>
    <w:rsid w:val="00B87CE6"/>
    <w:rsid w:val="00B87E05"/>
    <w:rsid w:val="00B87F0C"/>
    <w:rsid w:val="00B90075"/>
    <w:rsid w:val="00B9073D"/>
    <w:rsid w:val="00B9077E"/>
    <w:rsid w:val="00B908BB"/>
    <w:rsid w:val="00B90B09"/>
    <w:rsid w:val="00B90B60"/>
    <w:rsid w:val="00B90E04"/>
    <w:rsid w:val="00B912C5"/>
    <w:rsid w:val="00B9140A"/>
    <w:rsid w:val="00B9151C"/>
    <w:rsid w:val="00B9186D"/>
    <w:rsid w:val="00B9194B"/>
    <w:rsid w:val="00B91BDF"/>
    <w:rsid w:val="00B91E31"/>
    <w:rsid w:val="00B91E70"/>
    <w:rsid w:val="00B920F8"/>
    <w:rsid w:val="00B92471"/>
    <w:rsid w:val="00B9264F"/>
    <w:rsid w:val="00B926ED"/>
    <w:rsid w:val="00B928CE"/>
    <w:rsid w:val="00B92962"/>
    <w:rsid w:val="00B929EE"/>
    <w:rsid w:val="00B92C49"/>
    <w:rsid w:val="00B92D22"/>
    <w:rsid w:val="00B92DAB"/>
    <w:rsid w:val="00B9311C"/>
    <w:rsid w:val="00B9317A"/>
    <w:rsid w:val="00B9318E"/>
    <w:rsid w:val="00B935BA"/>
    <w:rsid w:val="00B9369D"/>
    <w:rsid w:val="00B936AA"/>
    <w:rsid w:val="00B93845"/>
    <w:rsid w:val="00B939CB"/>
    <w:rsid w:val="00B93A61"/>
    <w:rsid w:val="00B93BC2"/>
    <w:rsid w:val="00B93D4D"/>
    <w:rsid w:val="00B93E47"/>
    <w:rsid w:val="00B93EFB"/>
    <w:rsid w:val="00B93F0D"/>
    <w:rsid w:val="00B940B3"/>
    <w:rsid w:val="00B94235"/>
    <w:rsid w:val="00B9457E"/>
    <w:rsid w:val="00B945AF"/>
    <w:rsid w:val="00B946BE"/>
    <w:rsid w:val="00B946F3"/>
    <w:rsid w:val="00B9472D"/>
    <w:rsid w:val="00B94A8F"/>
    <w:rsid w:val="00B94B4E"/>
    <w:rsid w:val="00B94CC1"/>
    <w:rsid w:val="00B95079"/>
    <w:rsid w:val="00B950F0"/>
    <w:rsid w:val="00B9523B"/>
    <w:rsid w:val="00B95285"/>
    <w:rsid w:val="00B953B1"/>
    <w:rsid w:val="00B953D3"/>
    <w:rsid w:val="00B95553"/>
    <w:rsid w:val="00B9569A"/>
    <w:rsid w:val="00B9577E"/>
    <w:rsid w:val="00B959D9"/>
    <w:rsid w:val="00B95CA6"/>
    <w:rsid w:val="00B9604E"/>
    <w:rsid w:val="00B96073"/>
    <w:rsid w:val="00B96258"/>
    <w:rsid w:val="00B9633C"/>
    <w:rsid w:val="00B964C7"/>
    <w:rsid w:val="00B96A0D"/>
    <w:rsid w:val="00B96AC4"/>
    <w:rsid w:val="00B96AC7"/>
    <w:rsid w:val="00B96B8A"/>
    <w:rsid w:val="00B96D67"/>
    <w:rsid w:val="00B96F38"/>
    <w:rsid w:val="00B971C2"/>
    <w:rsid w:val="00B97284"/>
    <w:rsid w:val="00B9751D"/>
    <w:rsid w:val="00B976C7"/>
    <w:rsid w:val="00B97A35"/>
    <w:rsid w:val="00B97C6B"/>
    <w:rsid w:val="00B97E8C"/>
    <w:rsid w:val="00B97ED6"/>
    <w:rsid w:val="00B97F96"/>
    <w:rsid w:val="00B97FDE"/>
    <w:rsid w:val="00BA03CB"/>
    <w:rsid w:val="00BA0418"/>
    <w:rsid w:val="00BA085C"/>
    <w:rsid w:val="00BA0A28"/>
    <w:rsid w:val="00BA0B8E"/>
    <w:rsid w:val="00BA0B9F"/>
    <w:rsid w:val="00BA0BB8"/>
    <w:rsid w:val="00BA0BFE"/>
    <w:rsid w:val="00BA0F88"/>
    <w:rsid w:val="00BA111A"/>
    <w:rsid w:val="00BA123D"/>
    <w:rsid w:val="00BA134B"/>
    <w:rsid w:val="00BA14D8"/>
    <w:rsid w:val="00BA1874"/>
    <w:rsid w:val="00BA1A14"/>
    <w:rsid w:val="00BA1C6A"/>
    <w:rsid w:val="00BA1D55"/>
    <w:rsid w:val="00BA1D90"/>
    <w:rsid w:val="00BA2221"/>
    <w:rsid w:val="00BA228B"/>
    <w:rsid w:val="00BA22EA"/>
    <w:rsid w:val="00BA23D3"/>
    <w:rsid w:val="00BA2664"/>
    <w:rsid w:val="00BA2815"/>
    <w:rsid w:val="00BA2912"/>
    <w:rsid w:val="00BA2925"/>
    <w:rsid w:val="00BA29E5"/>
    <w:rsid w:val="00BA2A11"/>
    <w:rsid w:val="00BA2A38"/>
    <w:rsid w:val="00BA2AC5"/>
    <w:rsid w:val="00BA2AD7"/>
    <w:rsid w:val="00BA2B70"/>
    <w:rsid w:val="00BA2CDA"/>
    <w:rsid w:val="00BA2F36"/>
    <w:rsid w:val="00BA3097"/>
    <w:rsid w:val="00BA320F"/>
    <w:rsid w:val="00BA3328"/>
    <w:rsid w:val="00BA33EA"/>
    <w:rsid w:val="00BA3576"/>
    <w:rsid w:val="00BA35E9"/>
    <w:rsid w:val="00BA366F"/>
    <w:rsid w:val="00BA3799"/>
    <w:rsid w:val="00BA37CC"/>
    <w:rsid w:val="00BA3875"/>
    <w:rsid w:val="00BA3922"/>
    <w:rsid w:val="00BA3B3C"/>
    <w:rsid w:val="00BA3C5C"/>
    <w:rsid w:val="00BA3E68"/>
    <w:rsid w:val="00BA4238"/>
    <w:rsid w:val="00BA48D9"/>
    <w:rsid w:val="00BA48FA"/>
    <w:rsid w:val="00BA4D72"/>
    <w:rsid w:val="00BA4DB9"/>
    <w:rsid w:val="00BA4E57"/>
    <w:rsid w:val="00BA4FF8"/>
    <w:rsid w:val="00BA56F2"/>
    <w:rsid w:val="00BA572E"/>
    <w:rsid w:val="00BA57B4"/>
    <w:rsid w:val="00BA5824"/>
    <w:rsid w:val="00BA5879"/>
    <w:rsid w:val="00BA5BBD"/>
    <w:rsid w:val="00BA5CA5"/>
    <w:rsid w:val="00BA5E35"/>
    <w:rsid w:val="00BA659F"/>
    <w:rsid w:val="00BA6672"/>
    <w:rsid w:val="00BA68E1"/>
    <w:rsid w:val="00BA6AAE"/>
    <w:rsid w:val="00BA6BF8"/>
    <w:rsid w:val="00BA716D"/>
    <w:rsid w:val="00BA71C7"/>
    <w:rsid w:val="00BA7362"/>
    <w:rsid w:val="00BA736C"/>
    <w:rsid w:val="00BA73DE"/>
    <w:rsid w:val="00BA73E8"/>
    <w:rsid w:val="00BA76AD"/>
    <w:rsid w:val="00BA776C"/>
    <w:rsid w:val="00BA7A46"/>
    <w:rsid w:val="00BA7A94"/>
    <w:rsid w:val="00BA7BFD"/>
    <w:rsid w:val="00BA7D3E"/>
    <w:rsid w:val="00BA7E36"/>
    <w:rsid w:val="00BA7F99"/>
    <w:rsid w:val="00BB001B"/>
    <w:rsid w:val="00BB0295"/>
    <w:rsid w:val="00BB0654"/>
    <w:rsid w:val="00BB0BB6"/>
    <w:rsid w:val="00BB138F"/>
    <w:rsid w:val="00BB142C"/>
    <w:rsid w:val="00BB1527"/>
    <w:rsid w:val="00BB166D"/>
    <w:rsid w:val="00BB16BC"/>
    <w:rsid w:val="00BB177E"/>
    <w:rsid w:val="00BB178F"/>
    <w:rsid w:val="00BB18ED"/>
    <w:rsid w:val="00BB1AFF"/>
    <w:rsid w:val="00BB1E4E"/>
    <w:rsid w:val="00BB1F4B"/>
    <w:rsid w:val="00BB2042"/>
    <w:rsid w:val="00BB2620"/>
    <w:rsid w:val="00BB2671"/>
    <w:rsid w:val="00BB2993"/>
    <w:rsid w:val="00BB2A89"/>
    <w:rsid w:val="00BB2AC9"/>
    <w:rsid w:val="00BB2B06"/>
    <w:rsid w:val="00BB30BA"/>
    <w:rsid w:val="00BB30CD"/>
    <w:rsid w:val="00BB320B"/>
    <w:rsid w:val="00BB3213"/>
    <w:rsid w:val="00BB3846"/>
    <w:rsid w:val="00BB3978"/>
    <w:rsid w:val="00BB3A6F"/>
    <w:rsid w:val="00BB3ABC"/>
    <w:rsid w:val="00BB3C18"/>
    <w:rsid w:val="00BB3E95"/>
    <w:rsid w:val="00BB441C"/>
    <w:rsid w:val="00BB44CE"/>
    <w:rsid w:val="00BB4555"/>
    <w:rsid w:val="00BB466E"/>
    <w:rsid w:val="00BB46C4"/>
    <w:rsid w:val="00BB47D7"/>
    <w:rsid w:val="00BB483E"/>
    <w:rsid w:val="00BB4C37"/>
    <w:rsid w:val="00BB4E15"/>
    <w:rsid w:val="00BB4F05"/>
    <w:rsid w:val="00BB5084"/>
    <w:rsid w:val="00BB525B"/>
    <w:rsid w:val="00BB5323"/>
    <w:rsid w:val="00BB536B"/>
    <w:rsid w:val="00BB53CF"/>
    <w:rsid w:val="00BB53F0"/>
    <w:rsid w:val="00BB574A"/>
    <w:rsid w:val="00BB5827"/>
    <w:rsid w:val="00BB5D09"/>
    <w:rsid w:val="00BB5E79"/>
    <w:rsid w:val="00BB642F"/>
    <w:rsid w:val="00BB65C5"/>
    <w:rsid w:val="00BB688F"/>
    <w:rsid w:val="00BB6926"/>
    <w:rsid w:val="00BB695F"/>
    <w:rsid w:val="00BB6A3D"/>
    <w:rsid w:val="00BB6A62"/>
    <w:rsid w:val="00BB6B3D"/>
    <w:rsid w:val="00BB6FA2"/>
    <w:rsid w:val="00BB705A"/>
    <w:rsid w:val="00BB70BC"/>
    <w:rsid w:val="00BB7217"/>
    <w:rsid w:val="00BB725D"/>
    <w:rsid w:val="00BB7353"/>
    <w:rsid w:val="00BB73F2"/>
    <w:rsid w:val="00BB755D"/>
    <w:rsid w:val="00BB75EC"/>
    <w:rsid w:val="00BB76A8"/>
    <w:rsid w:val="00BB7809"/>
    <w:rsid w:val="00BB78AD"/>
    <w:rsid w:val="00BB7974"/>
    <w:rsid w:val="00BB7A55"/>
    <w:rsid w:val="00BB7B31"/>
    <w:rsid w:val="00BB7BA5"/>
    <w:rsid w:val="00BB7C1A"/>
    <w:rsid w:val="00BB7E0D"/>
    <w:rsid w:val="00BB7EDD"/>
    <w:rsid w:val="00BB7FB1"/>
    <w:rsid w:val="00BB7FD4"/>
    <w:rsid w:val="00BC05BA"/>
    <w:rsid w:val="00BC082F"/>
    <w:rsid w:val="00BC0A37"/>
    <w:rsid w:val="00BC0A48"/>
    <w:rsid w:val="00BC0BE3"/>
    <w:rsid w:val="00BC0E1F"/>
    <w:rsid w:val="00BC0E20"/>
    <w:rsid w:val="00BC10EB"/>
    <w:rsid w:val="00BC1312"/>
    <w:rsid w:val="00BC1437"/>
    <w:rsid w:val="00BC1625"/>
    <w:rsid w:val="00BC16F1"/>
    <w:rsid w:val="00BC17CA"/>
    <w:rsid w:val="00BC1B16"/>
    <w:rsid w:val="00BC1BB5"/>
    <w:rsid w:val="00BC1BD5"/>
    <w:rsid w:val="00BC1D2D"/>
    <w:rsid w:val="00BC1EF2"/>
    <w:rsid w:val="00BC1F36"/>
    <w:rsid w:val="00BC2269"/>
    <w:rsid w:val="00BC22AD"/>
    <w:rsid w:val="00BC23F1"/>
    <w:rsid w:val="00BC2A4A"/>
    <w:rsid w:val="00BC2EDA"/>
    <w:rsid w:val="00BC309C"/>
    <w:rsid w:val="00BC3231"/>
    <w:rsid w:val="00BC3484"/>
    <w:rsid w:val="00BC34EA"/>
    <w:rsid w:val="00BC377D"/>
    <w:rsid w:val="00BC3890"/>
    <w:rsid w:val="00BC3E40"/>
    <w:rsid w:val="00BC3F45"/>
    <w:rsid w:val="00BC3FC2"/>
    <w:rsid w:val="00BC403D"/>
    <w:rsid w:val="00BC40D0"/>
    <w:rsid w:val="00BC4450"/>
    <w:rsid w:val="00BC449C"/>
    <w:rsid w:val="00BC44DF"/>
    <w:rsid w:val="00BC453F"/>
    <w:rsid w:val="00BC474D"/>
    <w:rsid w:val="00BC48BE"/>
    <w:rsid w:val="00BC490F"/>
    <w:rsid w:val="00BC49E8"/>
    <w:rsid w:val="00BC4B27"/>
    <w:rsid w:val="00BC4B84"/>
    <w:rsid w:val="00BC4E79"/>
    <w:rsid w:val="00BC57F0"/>
    <w:rsid w:val="00BC5955"/>
    <w:rsid w:val="00BC5A95"/>
    <w:rsid w:val="00BC5BA2"/>
    <w:rsid w:val="00BC5CDC"/>
    <w:rsid w:val="00BC5DBD"/>
    <w:rsid w:val="00BC625B"/>
    <w:rsid w:val="00BC62B8"/>
    <w:rsid w:val="00BC6313"/>
    <w:rsid w:val="00BC6655"/>
    <w:rsid w:val="00BC6CC4"/>
    <w:rsid w:val="00BC6D82"/>
    <w:rsid w:val="00BC6F42"/>
    <w:rsid w:val="00BC6F60"/>
    <w:rsid w:val="00BC7072"/>
    <w:rsid w:val="00BC714A"/>
    <w:rsid w:val="00BC714F"/>
    <w:rsid w:val="00BC740A"/>
    <w:rsid w:val="00BC787A"/>
    <w:rsid w:val="00BC7DF1"/>
    <w:rsid w:val="00BC7FBF"/>
    <w:rsid w:val="00BD0210"/>
    <w:rsid w:val="00BD0491"/>
    <w:rsid w:val="00BD059D"/>
    <w:rsid w:val="00BD05A6"/>
    <w:rsid w:val="00BD05CF"/>
    <w:rsid w:val="00BD0853"/>
    <w:rsid w:val="00BD09A7"/>
    <w:rsid w:val="00BD0AF1"/>
    <w:rsid w:val="00BD0D71"/>
    <w:rsid w:val="00BD17B0"/>
    <w:rsid w:val="00BD1804"/>
    <w:rsid w:val="00BD189B"/>
    <w:rsid w:val="00BD19DB"/>
    <w:rsid w:val="00BD1C34"/>
    <w:rsid w:val="00BD1C5A"/>
    <w:rsid w:val="00BD1CCB"/>
    <w:rsid w:val="00BD1D49"/>
    <w:rsid w:val="00BD1F96"/>
    <w:rsid w:val="00BD2050"/>
    <w:rsid w:val="00BD20D0"/>
    <w:rsid w:val="00BD21D6"/>
    <w:rsid w:val="00BD2424"/>
    <w:rsid w:val="00BD24A3"/>
    <w:rsid w:val="00BD24AA"/>
    <w:rsid w:val="00BD26DF"/>
    <w:rsid w:val="00BD26F0"/>
    <w:rsid w:val="00BD2788"/>
    <w:rsid w:val="00BD2851"/>
    <w:rsid w:val="00BD2AD9"/>
    <w:rsid w:val="00BD2C0E"/>
    <w:rsid w:val="00BD3078"/>
    <w:rsid w:val="00BD31AB"/>
    <w:rsid w:val="00BD3223"/>
    <w:rsid w:val="00BD3347"/>
    <w:rsid w:val="00BD3534"/>
    <w:rsid w:val="00BD3639"/>
    <w:rsid w:val="00BD375A"/>
    <w:rsid w:val="00BD3778"/>
    <w:rsid w:val="00BD39CB"/>
    <w:rsid w:val="00BD39E3"/>
    <w:rsid w:val="00BD3ECE"/>
    <w:rsid w:val="00BD4100"/>
    <w:rsid w:val="00BD43B7"/>
    <w:rsid w:val="00BD4780"/>
    <w:rsid w:val="00BD4AB3"/>
    <w:rsid w:val="00BD4B6F"/>
    <w:rsid w:val="00BD4C05"/>
    <w:rsid w:val="00BD4D18"/>
    <w:rsid w:val="00BD5085"/>
    <w:rsid w:val="00BD547F"/>
    <w:rsid w:val="00BD5695"/>
    <w:rsid w:val="00BD584F"/>
    <w:rsid w:val="00BD5850"/>
    <w:rsid w:val="00BD58BB"/>
    <w:rsid w:val="00BD5B89"/>
    <w:rsid w:val="00BD5BE3"/>
    <w:rsid w:val="00BD5BEE"/>
    <w:rsid w:val="00BD5CA9"/>
    <w:rsid w:val="00BD5F74"/>
    <w:rsid w:val="00BD6A05"/>
    <w:rsid w:val="00BD6AA5"/>
    <w:rsid w:val="00BD6B04"/>
    <w:rsid w:val="00BD6D27"/>
    <w:rsid w:val="00BD6DDE"/>
    <w:rsid w:val="00BD6F85"/>
    <w:rsid w:val="00BD7A4D"/>
    <w:rsid w:val="00BD7D52"/>
    <w:rsid w:val="00BD7FBE"/>
    <w:rsid w:val="00BE0083"/>
    <w:rsid w:val="00BE0119"/>
    <w:rsid w:val="00BE0205"/>
    <w:rsid w:val="00BE04F2"/>
    <w:rsid w:val="00BE0675"/>
    <w:rsid w:val="00BE07C8"/>
    <w:rsid w:val="00BE0B96"/>
    <w:rsid w:val="00BE0DCA"/>
    <w:rsid w:val="00BE10BA"/>
    <w:rsid w:val="00BE118F"/>
    <w:rsid w:val="00BE11A7"/>
    <w:rsid w:val="00BE14A0"/>
    <w:rsid w:val="00BE16D1"/>
    <w:rsid w:val="00BE1709"/>
    <w:rsid w:val="00BE1930"/>
    <w:rsid w:val="00BE1B52"/>
    <w:rsid w:val="00BE1D10"/>
    <w:rsid w:val="00BE1EEA"/>
    <w:rsid w:val="00BE1F08"/>
    <w:rsid w:val="00BE22D1"/>
    <w:rsid w:val="00BE2917"/>
    <w:rsid w:val="00BE2A0C"/>
    <w:rsid w:val="00BE2B30"/>
    <w:rsid w:val="00BE2C09"/>
    <w:rsid w:val="00BE2CD4"/>
    <w:rsid w:val="00BE2DF7"/>
    <w:rsid w:val="00BE2DFC"/>
    <w:rsid w:val="00BE3095"/>
    <w:rsid w:val="00BE3157"/>
    <w:rsid w:val="00BE331D"/>
    <w:rsid w:val="00BE3547"/>
    <w:rsid w:val="00BE35E3"/>
    <w:rsid w:val="00BE370A"/>
    <w:rsid w:val="00BE3A05"/>
    <w:rsid w:val="00BE3C3D"/>
    <w:rsid w:val="00BE3FD3"/>
    <w:rsid w:val="00BE4881"/>
    <w:rsid w:val="00BE49BB"/>
    <w:rsid w:val="00BE4AB5"/>
    <w:rsid w:val="00BE4D56"/>
    <w:rsid w:val="00BE4E3A"/>
    <w:rsid w:val="00BE4F20"/>
    <w:rsid w:val="00BE4F96"/>
    <w:rsid w:val="00BE5004"/>
    <w:rsid w:val="00BE5322"/>
    <w:rsid w:val="00BE5549"/>
    <w:rsid w:val="00BE578E"/>
    <w:rsid w:val="00BE5BFF"/>
    <w:rsid w:val="00BE612B"/>
    <w:rsid w:val="00BE64EC"/>
    <w:rsid w:val="00BE6510"/>
    <w:rsid w:val="00BE676D"/>
    <w:rsid w:val="00BE68E9"/>
    <w:rsid w:val="00BE6B42"/>
    <w:rsid w:val="00BE6C26"/>
    <w:rsid w:val="00BE6CEC"/>
    <w:rsid w:val="00BE6F49"/>
    <w:rsid w:val="00BE702C"/>
    <w:rsid w:val="00BE7182"/>
    <w:rsid w:val="00BE7248"/>
    <w:rsid w:val="00BE74AF"/>
    <w:rsid w:val="00BE7541"/>
    <w:rsid w:val="00BE7644"/>
    <w:rsid w:val="00BE7663"/>
    <w:rsid w:val="00BE7678"/>
    <w:rsid w:val="00BE79A6"/>
    <w:rsid w:val="00BE79C2"/>
    <w:rsid w:val="00BE79EA"/>
    <w:rsid w:val="00BE7A4D"/>
    <w:rsid w:val="00BE7D40"/>
    <w:rsid w:val="00BF0340"/>
    <w:rsid w:val="00BF040E"/>
    <w:rsid w:val="00BF0C91"/>
    <w:rsid w:val="00BF0CE9"/>
    <w:rsid w:val="00BF0E52"/>
    <w:rsid w:val="00BF0F92"/>
    <w:rsid w:val="00BF1255"/>
    <w:rsid w:val="00BF189B"/>
    <w:rsid w:val="00BF19D3"/>
    <w:rsid w:val="00BF1AD5"/>
    <w:rsid w:val="00BF1ADB"/>
    <w:rsid w:val="00BF1B90"/>
    <w:rsid w:val="00BF1BE9"/>
    <w:rsid w:val="00BF1C94"/>
    <w:rsid w:val="00BF1CC3"/>
    <w:rsid w:val="00BF1CF3"/>
    <w:rsid w:val="00BF1E05"/>
    <w:rsid w:val="00BF1FDA"/>
    <w:rsid w:val="00BF205B"/>
    <w:rsid w:val="00BF2123"/>
    <w:rsid w:val="00BF21DA"/>
    <w:rsid w:val="00BF2C22"/>
    <w:rsid w:val="00BF2E93"/>
    <w:rsid w:val="00BF37F5"/>
    <w:rsid w:val="00BF3C52"/>
    <w:rsid w:val="00BF3F6F"/>
    <w:rsid w:val="00BF3F7E"/>
    <w:rsid w:val="00BF3FBB"/>
    <w:rsid w:val="00BF43F5"/>
    <w:rsid w:val="00BF47FD"/>
    <w:rsid w:val="00BF4BA3"/>
    <w:rsid w:val="00BF4C75"/>
    <w:rsid w:val="00BF4D43"/>
    <w:rsid w:val="00BF4DD1"/>
    <w:rsid w:val="00BF508D"/>
    <w:rsid w:val="00BF50FF"/>
    <w:rsid w:val="00BF5503"/>
    <w:rsid w:val="00BF5577"/>
    <w:rsid w:val="00BF5A80"/>
    <w:rsid w:val="00BF5BF7"/>
    <w:rsid w:val="00BF5D63"/>
    <w:rsid w:val="00BF6160"/>
    <w:rsid w:val="00BF630B"/>
    <w:rsid w:val="00BF6764"/>
    <w:rsid w:val="00BF68C5"/>
    <w:rsid w:val="00BF69F2"/>
    <w:rsid w:val="00BF6A6F"/>
    <w:rsid w:val="00BF6BC1"/>
    <w:rsid w:val="00BF6BD1"/>
    <w:rsid w:val="00BF6C6C"/>
    <w:rsid w:val="00BF718A"/>
    <w:rsid w:val="00BF7420"/>
    <w:rsid w:val="00BF7527"/>
    <w:rsid w:val="00BF761D"/>
    <w:rsid w:val="00BF768D"/>
    <w:rsid w:val="00BF7836"/>
    <w:rsid w:val="00BF78BD"/>
    <w:rsid w:val="00BF798D"/>
    <w:rsid w:val="00BF7CBE"/>
    <w:rsid w:val="00BF7CF7"/>
    <w:rsid w:val="00C0029F"/>
    <w:rsid w:val="00C0033B"/>
    <w:rsid w:val="00C004EC"/>
    <w:rsid w:val="00C007EB"/>
    <w:rsid w:val="00C008F8"/>
    <w:rsid w:val="00C0092A"/>
    <w:rsid w:val="00C00F61"/>
    <w:rsid w:val="00C011E0"/>
    <w:rsid w:val="00C01330"/>
    <w:rsid w:val="00C0189F"/>
    <w:rsid w:val="00C018A4"/>
    <w:rsid w:val="00C01B78"/>
    <w:rsid w:val="00C01B88"/>
    <w:rsid w:val="00C01BA7"/>
    <w:rsid w:val="00C01CCB"/>
    <w:rsid w:val="00C01E1D"/>
    <w:rsid w:val="00C0201E"/>
    <w:rsid w:val="00C02148"/>
    <w:rsid w:val="00C02494"/>
    <w:rsid w:val="00C0287C"/>
    <w:rsid w:val="00C02A08"/>
    <w:rsid w:val="00C02B3A"/>
    <w:rsid w:val="00C02BAD"/>
    <w:rsid w:val="00C02C10"/>
    <w:rsid w:val="00C03117"/>
    <w:rsid w:val="00C03122"/>
    <w:rsid w:val="00C0347D"/>
    <w:rsid w:val="00C03490"/>
    <w:rsid w:val="00C0353F"/>
    <w:rsid w:val="00C0367B"/>
    <w:rsid w:val="00C038F1"/>
    <w:rsid w:val="00C03B3C"/>
    <w:rsid w:val="00C03CBE"/>
    <w:rsid w:val="00C03D72"/>
    <w:rsid w:val="00C04312"/>
    <w:rsid w:val="00C043F3"/>
    <w:rsid w:val="00C044B7"/>
    <w:rsid w:val="00C046B5"/>
    <w:rsid w:val="00C0480A"/>
    <w:rsid w:val="00C04D5A"/>
    <w:rsid w:val="00C04D70"/>
    <w:rsid w:val="00C04E11"/>
    <w:rsid w:val="00C04E6E"/>
    <w:rsid w:val="00C04EF4"/>
    <w:rsid w:val="00C05A1D"/>
    <w:rsid w:val="00C05B6E"/>
    <w:rsid w:val="00C05D07"/>
    <w:rsid w:val="00C05D92"/>
    <w:rsid w:val="00C05EAD"/>
    <w:rsid w:val="00C05EF7"/>
    <w:rsid w:val="00C063DE"/>
    <w:rsid w:val="00C0668F"/>
    <w:rsid w:val="00C0673D"/>
    <w:rsid w:val="00C068AC"/>
    <w:rsid w:val="00C07526"/>
    <w:rsid w:val="00C07606"/>
    <w:rsid w:val="00C077FC"/>
    <w:rsid w:val="00C0784C"/>
    <w:rsid w:val="00C07943"/>
    <w:rsid w:val="00C079B0"/>
    <w:rsid w:val="00C07E68"/>
    <w:rsid w:val="00C101FD"/>
    <w:rsid w:val="00C103A4"/>
    <w:rsid w:val="00C107AD"/>
    <w:rsid w:val="00C10867"/>
    <w:rsid w:val="00C10BA7"/>
    <w:rsid w:val="00C110DE"/>
    <w:rsid w:val="00C1163F"/>
    <w:rsid w:val="00C11691"/>
    <w:rsid w:val="00C1191E"/>
    <w:rsid w:val="00C11C96"/>
    <w:rsid w:val="00C12025"/>
    <w:rsid w:val="00C1226C"/>
    <w:rsid w:val="00C12810"/>
    <w:rsid w:val="00C12D20"/>
    <w:rsid w:val="00C13178"/>
    <w:rsid w:val="00C132DD"/>
    <w:rsid w:val="00C13356"/>
    <w:rsid w:val="00C13712"/>
    <w:rsid w:val="00C13813"/>
    <w:rsid w:val="00C13A48"/>
    <w:rsid w:val="00C13D17"/>
    <w:rsid w:val="00C13D5E"/>
    <w:rsid w:val="00C13D72"/>
    <w:rsid w:val="00C13EED"/>
    <w:rsid w:val="00C142C2"/>
    <w:rsid w:val="00C142F9"/>
    <w:rsid w:val="00C14C46"/>
    <w:rsid w:val="00C14D09"/>
    <w:rsid w:val="00C14D1D"/>
    <w:rsid w:val="00C15179"/>
    <w:rsid w:val="00C15A21"/>
    <w:rsid w:val="00C15A54"/>
    <w:rsid w:val="00C15A6D"/>
    <w:rsid w:val="00C15C52"/>
    <w:rsid w:val="00C15D05"/>
    <w:rsid w:val="00C15DAB"/>
    <w:rsid w:val="00C16102"/>
    <w:rsid w:val="00C16157"/>
    <w:rsid w:val="00C16429"/>
    <w:rsid w:val="00C169DD"/>
    <w:rsid w:val="00C16B19"/>
    <w:rsid w:val="00C16B4B"/>
    <w:rsid w:val="00C16BA7"/>
    <w:rsid w:val="00C16D2C"/>
    <w:rsid w:val="00C16EC3"/>
    <w:rsid w:val="00C17006"/>
    <w:rsid w:val="00C1741C"/>
    <w:rsid w:val="00C1764F"/>
    <w:rsid w:val="00C176C0"/>
    <w:rsid w:val="00C17E76"/>
    <w:rsid w:val="00C201B6"/>
    <w:rsid w:val="00C201E1"/>
    <w:rsid w:val="00C202CD"/>
    <w:rsid w:val="00C2042E"/>
    <w:rsid w:val="00C204AB"/>
    <w:rsid w:val="00C2072E"/>
    <w:rsid w:val="00C20CC7"/>
    <w:rsid w:val="00C20CC8"/>
    <w:rsid w:val="00C20E95"/>
    <w:rsid w:val="00C20EF0"/>
    <w:rsid w:val="00C20FDF"/>
    <w:rsid w:val="00C21049"/>
    <w:rsid w:val="00C213EE"/>
    <w:rsid w:val="00C21429"/>
    <w:rsid w:val="00C215FB"/>
    <w:rsid w:val="00C2165B"/>
    <w:rsid w:val="00C21767"/>
    <w:rsid w:val="00C21778"/>
    <w:rsid w:val="00C21B19"/>
    <w:rsid w:val="00C21B76"/>
    <w:rsid w:val="00C21BEC"/>
    <w:rsid w:val="00C21F9E"/>
    <w:rsid w:val="00C22156"/>
    <w:rsid w:val="00C221A3"/>
    <w:rsid w:val="00C2246A"/>
    <w:rsid w:val="00C2260A"/>
    <w:rsid w:val="00C22663"/>
    <w:rsid w:val="00C22BD3"/>
    <w:rsid w:val="00C22CA1"/>
    <w:rsid w:val="00C22D46"/>
    <w:rsid w:val="00C22DEE"/>
    <w:rsid w:val="00C22F75"/>
    <w:rsid w:val="00C23191"/>
    <w:rsid w:val="00C2337A"/>
    <w:rsid w:val="00C23623"/>
    <w:rsid w:val="00C239C7"/>
    <w:rsid w:val="00C239D3"/>
    <w:rsid w:val="00C23B7E"/>
    <w:rsid w:val="00C23B97"/>
    <w:rsid w:val="00C23C30"/>
    <w:rsid w:val="00C23CB8"/>
    <w:rsid w:val="00C24413"/>
    <w:rsid w:val="00C24529"/>
    <w:rsid w:val="00C2456D"/>
    <w:rsid w:val="00C249BC"/>
    <w:rsid w:val="00C24A02"/>
    <w:rsid w:val="00C253E2"/>
    <w:rsid w:val="00C2540E"/>
    <w:rsid w:val="00C25455"/>
    <w:rsid w:val="00C2548C"/>
    <w:rsid w:val="00C254A2"/>
    <w:rsid w:val="00C2573A"/>
    <w:rsid w:val="00C2578B"/>
    <w:rsid w:val="00C25B5E"/>
    <w:rsid w:val="00C25FF9"/>
    <w:rsid w:val="00C2622F"/>
    <w:rsid w:val="00C262BE"/>
    <w:rsid w:val="00C263AF"/>
    <w:rsid w:val="00C2643F"/>
    <w:rsid w:val="00C2659D"/>
    <w:rsid w:val="00C267C4"/>
    <w:rsid w:val="00C269CB"/>
    <w:rsid w:val="00C26C93"/>
    <w:rsid w:val="00C271B0"/>
    <w:rsid w:val="00C2738E"/>
    <w:rsid w:val="00C27A35"/>
    <w:rsid w:val="00C27E2E"/>
    <w:rsid w:val="00C30011"/>
    <w:rsid w:val="00C30418"/>
    <w:rsid w:val="00C30592"/>
    <w:rsid w:val="00C30C10"/>
    <w:rsid w:val="00C31058"/>
    <w:rsid w:val="00C313B7"/>
    <w:rsid w:val="00C3157B"/>
    <w:rsid w:val="00C3167F"/>
    <w:rsid w:val="00C31781"/>
    <w:rsid w:val="00C31CA8"/>
    <w:rsid w:val="00C31D35"/>
    <w:rsid w:val="00C31D5E"/>
    <w:rsid w:val="00C31FC2"/>
    <w:rsid w:val="00C320C6"/>
    <w:rsid w:val="00C321EA"/>
    <w:rsid w:val="00C3248F"/>
    <w:rsid w:val="00C328BE"/>
    <w:rsid w:val="00C329B4"/>
    <w:rsid w:val="00C329C9"/>
    <w:rsid w:val="00C32C27"/>
    <w:rsid w:val="00C3369D"/>
    <w:rsid w:val="00C33FAA"/>
    <w:rsid w:val="00C34232"/>
    <w:rsid w:val="00C34282"/>
    <w:rsid w:val="00C346FB"/>
    <w:rsid w:val="00C3478B"/>
    <w:rsid w:val="00C347FA"/>
    <w:rsid w:val="00C34C33"/>
    <w:rsid w:val="00C34EF4"/>
    <w:rsid w:val="00C34FCB"/>
    <w:rsid w:val="00C356D1"/>
    <w:rsid w:val="00C3577A"/>
    <w:rsid w:val="00C358FC"/>
    <w:rsid w:val="00C359B1"/>
    <w:rsid w:val="00C35BD2"/>
    <w:rsid w:val="00C35C6C"/>
    <w:rsid w:val="00C35D3A"/>
    <w:rsid w:val="00C36014"/>
    <w:rsid w:val="00C36028"/>
    <w:rsid w:val="00C361D0"/>
    <w:rsid w:val="00C3650B"/>
    <w:rsid w:val="00C36A0C"/>
    <w:rsid w:val="00C36B02"/>
    <w:rsid w:val="00C36B37"/>
    <w:rsid w:val="00C36E22"/>
    <w:rsid w:val="00C36E8A"/>
    <w:rsid w:val="00C36F95"/>
    <w:rsid w:val="00C3705C"/>
    <w:rsid w:val="00C4011C"/>
    <w:rsid w:val="00C402D7"/>
    <w:rsid w:val="00C4063D"/>
    <w:rsid w:val="00C409ED"/>
    <w:rsid w:val="00C40B07"/>
    <w:rsid w:val="00C40B7D"/>
    <w:rsid w:val="00C40EB1"/>
    <w:rsid w:val="00C40EF4"/>
    <w:rsid w:val="00C40FF4"/>
    <w:rsid w:val="00C41292"/>
    <w:rsid w:val="00C413A0"/>
    <w:rsid w:val="00C413D9"/>
    <w:rsid w:val="00C41670"/>
    <w:rsid w:val="00C41693"/>
    <w:rsid w:val="00C416E8"/>
    <w:rsid w:val="00C418A0"/>
    <w:rsid w:val="00C41A10"/>
    <w:rsid w:val="00C41AC5"/>
    <w:rsid w:val="00C41B30"/>
    <w:rsid w:val="00C41D64"/>
    <w:rsid w:val="00C41E10"/>
    <w:rsid w:val="00C41E2A"/>
    <w:rsid w:val="00C41E5F"/>
    <w:rsid w:val="00C41F42"/>
    <w:rsid w:val="00C4225F"/>
    <w:rsid w:val="00C42711"/>
    <w:rsid w:val="00C428D8"/>
    <w:rsid w:val="00C42BF9"/>
    <w:rsid w:val="00C42C55"/>
    <w:rsid w:val="00C42DCB"/>
    <w:rsid w:val="00C43477"/>
    <w:rsid w:val="00C4353A"/>
    <w:rsid w:val="00C43697"/>
    <w:rsid w:val="00C4390E"/>
    <w:rsid w:val="00C43C64"/>
    <w:rsid w:val="00C43D3C"/>
    <w:rsid w:val="00C43F3D"/>
    <w:rsid w:val="00C43F73"/>
    <w:rsid w:val="00C44142"/>
    <w:rsid w:val="00C44386"/>
    <w:rsid w:val="00C444B2"/>
    <w:rsid w:val="00C444E6"/>
    <w:rsid w:val="00C445AB"/>
    <w:rsid w:val="00C445FA"/>
    <w:rsid w:val="00C446F1"/>
    <w:rsid w:val="00C447BC"/>
    <w:rsid w:val="00C447FC"/>
    <w:rsid w:val="00C44A16"/>
    <w:rsid w:val="00C44BFE"/>
    <w:rsid w:val="00C44C5F"/>
    <w:rsid w:val="00C44FA1"/>
    <w:rsid w:val="00C45024"/>
    <w:rsid w:val="00C4507F"/>
    <w:rsid w:val="00C4558B"/>
    <w:rsid w:val="00C457DC"/>
    <w:rsid w:val="00C45BBE"/>
    <w:rsid w:val="00C45BF3"/>
    <w:rsid w:val="00C45D9F"/>
    <w:rsid w:val="00C46164"/>
    <w:rsid w:val="00C463C5"/>
    <w:rsid w:val="00C465E8"/>
    <w:rsid w:val="00C467A6"/>
    <w:rsid w:val="00C46815"/>
    <w:rsid w:val="00C468F0"/>
    <w:rsid w:val="00C46A41"/>
    <w:rsid w:val="00C46A65"/>
    <w:rsid w:val="00C46AE2"/>
    <w:rsid w:val="00C46AF7"/>
    <w:rsid w:val="00C46E93"/>
    <w:rsid w:val="00C470A0"/>
    <w:rsid w:val="00C470DC"/>
    <w:rsid w:val="00C47183"/>
    <w:rsid w:val="00C47364"/>
    <w:rsid w:val="00C473F0"/>
    <w:rsid w:val="00C47582"/>
    <w:rsid w:val="00C476BA"/>
    <w:rsid w:val="00C47776"/>
    <w:rsid w:val="00C478D5"/>
    <w:rsid w:val="00C47D5C"/>
    <w:rsid w:val="00C50008"/>
    <w:rsid w:val="00C5010B"/>
    <w:rsid w:val="00C5015E"/>
    <w:rsid w:val="00C502D8"/>
    <w:rsid w:val="00C5031E"/>
    <w:rsid w:val="00C5063D"/>
    <w:rsid w:val="00C50668"/>
    <w:rsid w:val="00C5070F"/>
    <w:rsid w:val="00C5072F"/>
    <w:rsid w:val="00C5099D"/>
    <w:rsid w:val="00C50C55"/>
    <w:rsid w:val="00C50DB6"/>
    <w:rsid w:val="00C50E85"/>
    <w:rsid w:val="00C5130F"/>
    <w:rsid w:val="00C51539"/>
    <w:rsid w:val="00C51608"/>
    <w:rsid w:val="00C518FE"/>
    <w:rsid w:val="00C51A05"/>
    <w:rsid w:val="00C51ECF"/>
    <w:rsid w:val="00C520A9"/>
    <w:rsid w:val="00C520EE"/>
    <w:rsid w:val="00C52164"/>
    <w:rsid w:val="00C52203"/>
    <w:rsid w:val="00C522C6"/>
    <w:rsid w:val="00C52499"/>
    <w:rsid w:val="00C52979"/>
    <w:rsid w:val="00C52C5A"/>
    <w:rsid w:val="00C52C70"/>
    <w:rsid w:val="00C52CA6"/>
    <w:rsid w:val="00C52D9E"/>
    <w:rsid w:val="00C53BFD"/>
    <w:rsid w:val="00C53CC3"/>
    <w:rsid w:val="00C53D95"/>
    <w:rsid w:val="00C53EB2"/>
    <w:rsid w:val="00C53FB6"/>
    <w:rsid w:val="00C540E7"/>
    <w:rsid w:val="00C54399"/>
    <w:rsid w:val="00C544E2"/>
    <w:rsid w:val="00C545DC"/>
    <w:rsid w:val="00C549A7"/>
    <w:rsid w:val="00C54CAD"/>
    <w:rsid w:val="00C54E01"/>
    <w:rsid w:val="00C54E1A"/>
    <w:rsid w:val="00C5511E"/>
    <w:rsid w:val="00C5512D"/>
    <w:rsid w:val="00C551CB"/>
    <w:rsid w:val="00C556FF"/>
    <w:rsid w:val="00C5584D"/>
    <w:rsid w:val="00C55926"/>
    <w:rsid w:val="00C55C4F"/>
    <w:rsid w:val="00C55C72"/>
    <w:rsid w:val="00C55CD3"/>
    <w:rsid w:val="00C55F7F"/>
    <w:rsid w:val="00C560A7"/>
    <w:rsid w:val="00C560B8"/>
    <w:rsid w:val="00C56157"/>
    <w:rsid w:val="00C561BE"/>
    <w:rsid w:val="00C562D0"/>
    <w:rsid w:val="00C567A2"/>
    <w:rsid w:val="00C5699C"/>
    <w:rsid w:val="00C56C17"/>
    <w:rsid w:val="00C56D05"/>
    <w:rsid w:val="00C56DA2"/>
    <w:rsid w:val="00C56F21"/>
    <w:rsid w:val="00C57300"/>
    <w:rsid w:val="00C576AB"/>
    <w:rsid w:val="00C57733"/>
    <w:rsid w:val="00C578B5"/>
    <w:rsid w:val="00C578E3"/>
    <w:rsid w:val="00C57A72"/>
    <w:rsid w:val="00C57C19"/>
    <w:rsid w:val="00C57CF2"/>
    <w:rsid w:val="00C57E0F"/>
    <w:rsid w:val="00C57F6B"/>
    <w:rsid w:val="00C601A0"/>
    <w:rsid w:val="00C60337"/>
    <w:rsid w:val="00C6049F"/>
    <w:rsid w:val="00C60512"/>
    <w:rsid w:val="00C60658"/>
    <w:rsid w:val="00C6080B"/>
    <w:rsid w:val="00C60881"/>
    <w:rsid w:val="00C608E6"/>
    <w:rsid w:val="00C60A3E"/>
    <w:rsid w:val="00C60AAE"/>
    <w:rsid w:val="00C60BF2"/>
    <w:rsid w:val="00C60D55"/>
    <w:rsid w:val="00C60EBC"/>
    <w:rsid w:val="00C60ECA"/>
    <w:rsid w:val="00C6109B"/>
    <w:rsid w:val="00C611EB"/>
    <w:rsid w:val="00C612EC"/>
    <w:rsid w:val="00C618AC"/>
    <w:rsid w:val="00C61A54"/>
    <w:rsid w:val="00C61B29"/>
    <w:rsid w:val="00C61EA2"/>
    <w:rsid w:val="00C61F1D"/>
    <w:rsid w:val="00C61F45"/>
    <w:rsid w:val="00C62266"/>
    <w:rsid w:val="00C622D4"/>
    <w:rsid w:val="00C62396"/>
    <w:rsid w:val="00C62404"/>
    <w:rsid w:val="00C62843"/>
    <w:rsid w:val="00C628CA"/>
    <w:rsid w:val="00C62A41"/>
    <w:rsid w:val="00C6308A"/>
    <w:rsid w:val="00C6332C"/>
    <w:rsid w:val="00C6360C"/>
    <w:rsid w:val="00C63857"/>
    <w:rsid w:val="00C639C2"/>
    <w:rsid w:val="00C63ABD"/>
    <w:rsid w:val="00C63BF1"/>
    <w:rsid w:val="00C63CE3"/>
    <w:rsid w:val="00C63D42"/>
    <w:rsid w:val="00C63EA5"/>
    <w:rsid w:val="00C63FED"/>
    <w:rsid w:val="00C64107"/>
    <w:rsid w:val="00C64581"/>
    <w:rsid w:val="00C6482B"/>
    <w:rsid w:val="00C64D69"/>
    <w:rsid w:val="00C65193"/>
    <w:rsid w:val="00C651D8"/>
    <w:rsid w:val="00C652CB"/>
    <w:rsid w:val="00C656C0"/>
    <w:rsid w:val="00C6587A"/>
    <w:rsid w:val="00C65A0D"/>
    <w:rsid w:val="00C6609A"/>
    <w:rsid w:val="00C66210"/>
    <w:rsid w:val="00C66621"/>
    <w:rsid w:val="00C6668B"/>
    <w:rsid w:val="00C66821"/>
    <w:rsid w:val="00C668EE"/>
    <w:rsid w:val="00C66A54"/>
    <w:rsid w:val="00C67259"/>
    <w:rsid w:val="00C6742C"/>
    <w:rsid w:val="00C67538"/>
    <w:rsid w:val="00C6783A"/>
    <w:rsid w:val="00C67847"/>
    <w:rsid w:val="00C67A18"/>
    <w:rsid w:val="00C67B80"/>
    <w:rsid w:val="00C67B81"/>
    <w:rsid w:val="00C67BF0"/>
    <w:rsid w:val="00C67CCF"/>
    <w:rsid w:val="00C70016"/>
    <w:rsid w:val="00C702CE"/>
    <w:rsid w:val="00C7031B"/>
    <w:rsid w:val="00C706EF"/>
    <w:rsid w:val="00C708CA"/>
    <w:rsid w:val="00C70CA8"/>
    <w:rsid w:val="00C70CDB"/>
    <w:rsid w:val="00C70DD0"/>
    <w:rsid w:val="00C70DE2"/>
    <w:rsid w:val="00C70E65"/>
    <w:rsid w:val="00C71892"/>
    <w:rsid w:val="00C71942"/>
    <w:rsid w:val="00C71D23"/>
    <w:rsid w:val="00C71E9E"/>
    <w:rsid w:val="00C720D0"/>
    <w:rsid w:val="00C72587"/>
    <w:rsid w:val="00C7280D"/>
    <w:rsid w:val="00C72884"/>
    <w:rsid w:val="00C728EE"/>
    <w:rsid w:val="00C72B79"/>
    <w:rsid w:val="00C72CBE"/>
    <w:rsid w:val="00C72E02"/>
    <w:rsid w:val="00C730CD"/>
    <w:rsid w:val="00C73289"/>
    <w:rsid w:val="00C73713"/>
    <w:rsid w:val="00C738DE"/>
    <w:rsid w:val="00C739F9"/>
    <w:rsid w:val="00C73B34"/>
    <w:rsid w:val="00C73C22"/>
    <w:rsid w:val="00C73C7D"/>
    <w:rsid w:val="00C73C84"/>
    <w:rsid w:val="00C74A10"/>
    <w:rsid w:val="00C74DC8"/>
    <w:rsid w:val="00C74E9E"/>
    <w:rsid w:val="00C7506A"/>
    <w:rsid w:val="00C751D6"/>
    <w:rsid w:val="00C75218"/>
    <w:rsid w:val="00C7523F"/>
    <w:rsid w:val="00C752A4"/>
    <w:rsid w:val="00C75370"/>
    <w:rsid w:val="00C753B8"/>
    <w:rsid w:val="00C753FE"/>
    <w:rsid w:val="00C75713"/>
    <w:rsid w:val="00C7594A"/>
    <w:rsid w:val="00C75967"/>
    <w:rsid w:val="00C75B1C"/>
    <w:rsid w:val="00C75D70"/>
    <w:rsid w:val="00C75E7C"/>
    <w:rsid w:val="00C75F29"/>
    <w:rsid w:val="00C75F52"/>
    <w:rsid w:val="00C76024"/>
    <w:rsid w:val="00C7603C"/>
    <w:rsid w:val="00C76131"/>
    <w:rsid w:val="00C76283"/>
    <w:rsid w:val="00C7630A"/>
    <w:rsid w:val="00C763DF"/>
    <w:rsid w:val="00C765A0"/>
    <w:rsid w:val="00C76913"/>
    <w:rsid w:val="00C76950"/>
    <w:rsid w:val="00C76A77"/>
    <w:rsid w:val="00C76ADD"/>
    <w:rsid w:val="00C76C16"/>
    <w:rsid w:val="00C76CC3"/>
    <w:rsid w:val="00C76D24"/>
    <w:rsid w:val="00C7716D"/>
    <w:rsid w:val="00C7721F"/>
    <w:rsid w:val="00C772AF"/>
    <w:rsid w:val="00C776E2"/>
    <w:rsid w:val="00C77782"/>
    <w:rsid w:val="00C7792E"/>
    <w:rsid w:val="00C77A65"/>
    <w:rsid w:val="00C77B46"/>
    <w:rsid w:val="00C77B7C"/>
    <w:rsid w:val="00C77EEA"/>
    <w:rsid w:val="00C77FD8"/>
    <w:rsid w:val="00C803E6"/>
    <w:rsid w:val="00C806B2"/>
    <w:rsid w:val="00C80767"/>
    <w:rsid w:val="00C80996"/>
    <w:rsid w:val="00C80A3B"/>
    <w:rsid w:val="00C80A8F"/>
    <w:rsid w:val="00C80BD5"/>
    <w:rsid w:val="00C80CDA"/>
    <w:rsid w:val="00C80DC6"/>
    <w:rsid w:val="00C80EC3"/>
    <w:rsid w:val="00C81084"/>
    <w:rsid w:val="00C8112B"/>
    <w:rsid w:val="00C8157E"/>
    <w:rsid w:val="00C8168F"/>
    <w:rsid w:val="00C816D2"/>
    <w:rsid w:val="00C81865"/>
    <w:rsid w:val="00C81EA6"/>
    <w:rsid w:val="00C81F3C"/>
    <w:rsid w:val="00C822DD"/>
    <w:rsid w:val="00C823E6"/>
    <w:rsid w:val="00C826BF"/>
    <w:rsid w:val="00C82883"/>
    <w:rsid w:val="00C82C42"/>
    <w:rsid w:val="00C82C8E"/>
    <w:rsid w:val="00C82E9E"/>
    <w:rsid w:val="00C82F8F"/>
    <w:rsid w:val="00C83602"/>
    <w:rsid w:val="00C83819"/>
    <w:rsid w:val="00C8399E"/>
    <w:rsid w:val="00C845B9"/>
    <w:rsid w:val="00C846FB"/>
    <w:rsid w:val="00C848A5"/>
    <w:rsid w:val="00C848F1"/>
    <w:rsid w:val="00C84D4E"/>
    <w:rsid w:val="00C85A1D"/>
    <w:rsid w:val="00C85B66"/>
    <w:rsid w:val="00C8640E"/>
    <w:rsid w:val="00C86747"/>
    <w:rsid w:val="00C86798"/>
    <w:rsid w:val="00C86CA3"/>
    <w:rsid w:val="00C86D40"/>
    <w:rsid w:val="00C87108"/>
    <w:rsid w:val="00C87243"/>
    <w:rsid w:val="00C87322"/>
    <w:rsid w:val="00C878EC"/>
    <w:rsid w:val="00C87D1B"/>
    <w:rsid w:val="00C9007D"/>
    <w:rsid w:val="00C90204"/>
    <w:rsid w:val="00C90305"/>
    <w:rsid w:val="00C906C8"/>
    <w:rsid w:val="00C90764"/>
    <w:rsid w:val="00C90A9E"/>
    <w:rsid w:val="00C90EFA"/>
    <w:rsid w:val="00C9116F"/>
    <w:rsid w:val="00C91285"/>
    <w:rsid w:val="00C91771"/>
    <w:rsid w:val="00C918CF"/>
    <w:rsid w:val="00C91B3F"/>
    <w:rsid w:val="00C91D0C"/>
    <w:rsid w:val="00C91D0E"/>
    <w:rsid w:val="00C91D5F"/>
    <w:rsid w:val="00C91E26"/>
    <w:rsid w:val="00C91F90"/>
    <w:rsid w:val="00C91FD9"/>
    <w:rsid w:val="00C9214B"/>
    <w:rsid w:val="00C92197"/>
    <w:rsid w:val="00C924B4"/>
    <w:rsid w:val="00C924F3"/>
    <w:rsid w:val="00C927A0"/>
    <w:rsid w:val="00C9297C"/>
    <w:rsid w:val="00C92FF7"/>
    <w:rsid w:val="00C930E4"/>
    <w:rsid w:val="00C9325E"/>
    <w:rsid w:val="00C933F7"/>
    <w:rsid w:val="00C93517"/>
    <w:rsid w:val="00C937D6"/>
    <w:rsid w:val="00C93826"/>
    <w:rsid w:val="00C93983"/>
    <w:rsid w:val="00C93A07"/>
    <w:rsid w:val="00C93A84"/>
    <w:rsid w:val="00C93CD4"/>
    <w:rsid w:val="00C93F8C"/>
    <w:rsid w:val="00C946B4"/>
    <w:rsid w:val="00C946FC"/>
    <w:rsid w:val="00C94BB8"/>
    <w:rsid w:val="00C94CED"/>
    <w:rsid w:val="00C94DC9"/>
    <w:rsid w:val="00C94E14"/>
    <w:rsid w:val="00C94E1E"/>
    <w:rsid w:val="00C95082"/>
    <w:rsid w:val="00C95178"/>
    <w:rsid w:val="00C951B2"/>
    <w:rsid w:val="00C9540C"/>
    <w:rsid w:val="00C957D8"/>
    <w:rsid w:val="00C957F4"/>
    <w:rsid w:val="00C95911"/>
    <w:rsid w:val="00C95A38"/>
    <w:rsid w:val="00C95B1F"/>
    <w:rsid w:val="00C95B22"/>
    <w:rsid w:val="00C95BAB"/>
    <w:rsid w:val="00C95C55"/>
    <w:rsid w:val="00C96254"/>
    <w:rsid w:val="00C962C8"/>
    <w:rsid w:val="00C9643C"/>
    <w:rsid w:val="00C964DD"/>
    <w:rsid w:val="00C966A7"/>
    <w:rsid w:val="00C96778"/>
    <w:rsid w:val="00C969CD"/>
    <w:rsid w:val="00C96C3A"/>
    <w:rsid w:val="00C96F54"/>
    <w:rsid w:val="00C97212"/>
    <w:rsid w:val="00C97410"/>
    <w:rsid w:val="00C974A0"/>
    <w:rsid w:val="00C974DD"/>
    <w:rsid w:val="00C97543"/>
    <w:rsid w:val="00C975B3"/>
    <w:rsid w:val="00C9776E"/>
    <w:rsid w:val="00C977C1"/>
    <w:rsid w:val="00C977D5"/>
    <w:rsid w:val="00C97830"/>
    <w:rsid w:val="00C97931"/>
    <w:rsid w:val="00C97A31"/>
    <w:rsid w:val="00C97CC1"/>
    <w:rsid w:val="00C97D47"/>
    <w:rsid w:val="00C97E14"/>
    <w:rsid w:val="00C97E29"/>
    <w:rsid w:val="00C97F27"/>
    <w:rsid w:val="00CA08AA"/>
    <w:rsid w:val="00CA08DD"/>
    <w:rsid w:val="00CA09FB"/>
    <w:rsid w:val="00CA0AD2"/>
    <w:rsid w:val="00CA10CD"/>
    <w:rsid w:val="00CA11A4"/>
    <w:rsid w:val="00CA1942"/>
    <w:rsid w:val="00CA1B9E"/>
    <w:rsid w:val="00CA1D22"/>
    <w:rsid w:val="00CA1F25"/>
    <w:rsid w:val="00CA1F53"/>
    <w:rsid w:val="00CA22B3"/>
    <w:rsid w:val="00CA241C"/>
    <w:rsid w:val="00CA2B01"/>
    <w:rsid w:val="00CA2D78"/>
    <w:rsid w:val="00CA3211"/>
    <w:rsid w:val="00CA3949"/>
    <w:rsid w:val="00CA399D"/>
    <w:rsid w:val="00CA3CDD"/>
    <w:rsid w:val="00CA3D13"/>
    <w:rsid w:val="00CA3D2D"/>
    <w:rsid w:val="00CA3DA1"/>
    <w:rsid w:val="00CA3E64"/>
    <w:rsid w:val="00CA3F6A"/>
    <w:rsid w:val="00CA3FF3"/>
    <w:rsid w:val="00CA40FD"/>
    <w:rsid w:val="00CA44A7"/>
    <w:rsid w:val="00CA4572"/>
    <w:rsid w:val="00CA465B"/>
    <w:rsid w:val="00CA47D9"/>
    <w:rsid w:val="00CA49BE"/>
    <w:rsid w:val="00CA4A46"/>
    <w:rsid w:val="00CA50D8"/>
    <w:rsid w:val="00CA51E5"/>
    <w:rsid w:val="00CA6145"/>
    <w:rsid w:val="00CA6523"/>
    <w:rsid w:val="00CA6685"/>
    <w:rsid w:val="00CA6965"/>
    <w:rsid w:val="00CA6B7D"/>
    <w:rsid w:val="00CA6D76"/>
    <w:rsid w:val="00CA6E20"/>
    <w:rsid w:val="00CA7333"/>
    <w:rsid w:val="00CA7806"/>
    <w:rsid w:val="00CA790A"/>
    <w:rsid w:val="00CA7923"/>
    <w:rsid w:val="00CB00D5"/>
    <w:rsid w:val="00CB02D7"/>
    <w:rsid w:val="00CB07B1"/>
    <w:rsid w:val="00CB0921"/>
    <w:rsid w:val="00CB09B7"/>
    <w:rsid w:val="00CB0B77"/>
    <w:rsid w:val="00CB0D03"/>
    <w:rsid w:val="00CB0E8E"/>
    <w:rsid w:val="00CB1063"/>
    <w:rsid w:val="00CB110B"/>
    <w:rsid w:val="00CB1256"/>
    <w:rsid w:val="00CB129B"/>
    <w:rsid w:val="00CB1373"/>
    <w:rsid w:val="00CB15CB"/>
    <w:rsid w:val="00CB15E3"/>
    <w:rsid w:val="00CB163F"/>
    <w:rsid w:val="00CB177B"/>
    <w:rsid w:val="00CB17EF"/>
    <w:rsid w:val="00CB193B"/>
    <w:rsid w:val="00CB1B7E"/>
    <w:rsid w:val="00CB1BDB"/>
    <w:rsid w:val="00CB1E02"/>
    <w:rsid w:val="00CB1E0E"/>
    <w:rsid w:val="00CB1E18"/>
    <w:rsid w:val="00CB1E78"/>
    <w:rsid w:val="00CB1EB6"/>
    <w:rsid w:val="00CB1FE6"/>
    <w:rsid w:val="00CB20CE"/>
    <w:rsid w:val="00CB21F7"/>
    <w:rsid w:val="00CB2483"/>
    <w:rsid w:val="00CB281F"/>
    <w:rsid w:val="00CB28E8"/>
    <w:rsid w:val="00CB28FA"/>
    <w:rsid w:val="00CB2ADD"/>
    <w:rsid w:val="00CB2CA6"/>
    <w:rsid w:val="00CB2D45"/>
    <w:rsid w:val="00CB2E32"/>
    <w:rsid w:val="00CB2F7F"/>
    <w:rsid w:val="00CB321F"/>
    <w:rsid w:val="00CB37D3"/>
    <w:rsid w:val="00CB37E2"/>
    <w:rsid w:val="00CB3E20"/>
    <w:rsid w:val="00CB441C"/>
    <w:rsid w:val="00CB4500"/>
    <w:rsid w:val="00CB47C0"/>
    <w:rsid w:val="00CB497A"/>
    <w:rsid w:val="00CB4992"/>
    <w:rsid w:val="00CB4AC5"/>
    <w:rsid w:val="00CB4E01"/>
    <w:rsid w:val="00CB4F24"/>
    <w:rsid w:val="00CB51A8"/>
    <w:rsid w:val="00CB5293"/>
    <w:rsid w:val="00CB5472"/>
    <w:rsid w:val="00CB5988"/>
    <w:rsid w:val="00CB5C0B"/>
    <w:rsid w:val="00CB5E23"/>
    <w:rsid w:val="00CB6011"/>
    <w:rsid w:val="00CB6070"/>
    <w:rsid w:val="00CB63BC"/>
    <w:rsid w:val="00CB63E8"/>
    <w:rsid w:val="00CB6435"/>
    <w:rsid w:val="00CB6656"/>
    <w:rsid w:val="00CB6827"/>
    <w:rsid w:val="00CB68C6"/>
    <w:rsid w:val="00CB68F6"/>
    <w:rsid w:val="00CB6C15"/>
    <w:rsid w:val="00CB6D81"/>
    <w:rsid w:val="00CB6D96"/>
    <w:rsid w:val="00CB6E0C"/>
    <w:rsid w:val="00CB6F21"/>
    <w:rsid w:val="00CB6FC4"/>
    <w:rsid w:val="00CB701E"/>
    <w:rsid w:val="00CB7064"/>
    <w:rsid w:val="00CB7071"/>
    <w:rsid w:val="00CB71AB"/>
    <w:rsid w:val="00CB7471"/>
    <w:rsid w:val="00CB7562"/>
    <w:rsid w:val="00CB7606"/>
    <w:rsid w:val="00CB77AE"/>
    <w:rsid w:val="00CB7833"/>
    <w:rsid w:val="00CB7C73"/>
    <w:rsid w:val="00CB7DA1"/>
    <w:rsid w:val="00CB7DD4"/>
    <w:rsid w:val="00CB7F3C"/>
    <w:rsid w:val="00CB7FB8"/>
    <w:rsid w:val="00CC01E9"/>
    <w:rsid w:val="00CC025A"/>
    <w:rsid w:val="00CC02A3"/>
    <w:rsid w:val="00CC037E"/>
    <w:rsid w:val="00CC044E"/>
    <w:rsid w:val="00CC05FE"/>
    <w:rsid w:val="00CC0886"/>
    <w:rsid w:val="00CC0939"/>
    <w:rsid w:val="00CC0A4F"/>
    <w:rsid w:val="00CC0B74"/>
    <w:rsid w:val="00CC0C58"/>
    <w:rsid w:val="00CC0CBD"/>
    <w:rsid w:val="00CC0D22"/>
    <w:rsid w:val="00CC0D97"/>
    <w:rsid w:val="00CC11B6"/>
    <w:rsid w:val="00CC11D6"/>
    <w:rsid w:val="00CC1248"/>
    <w:rsid w:val="00CC163B"/>
    <w:rsid w:val="00CC17D6"/>
    <w:rsid w:val="00CC192B"/>
    <w:rsid w:val="00CC1ACE"/>
    <w:rsid w:val="00CC1C29"/>
    <w:rsid w:val="00CC1D11"/>
    <w:rsid w:val="00CC1D5F"/>
    <w:rsid w:val="00CC1E0C"/>
    <w:rsid w:val="00CC1F57"/>
    <w:rsid w:val="00CC22B0"/>
    <w:rsid w:val="00CC23C3"/>
    <w:rsid w:val="00CC26F3"/>
    <w:rsid w:val="00CC2754"/>
    <w:rsid w:val="00CC281D"/>
    <w:rsid w:val="00CC2BE1"/>
    <w:rsid w:val="00CC2BE5"/>
    <w:rsid w:val="00CC2DDD"/>
    <w:rsid w:val="00CC2E5A"/>
    <w:rsid w:val="00CC30D9"/>
    <w:rsid w:val="00CC30E9"/>
    <w:rsid w:val="00CC31C0"/>
    <w:rsid w:val="00CC31E2"/>
    <w:rsid w:val="00CC325A"/>
    <w:rsid w:val="00CC3396"/>
    <w:rsid w:val="00CC370E"/>
    <w:rsid w:val="00CC3911"/>
    <w:rsid w:val="00CC3948"/>
    <w:rsid w:val="00CC396B"/>
    <w:rsid w:val="00CC3AA2"/>
    <w:rsid w:val="00CC3ADD"/>
    <w:rsid w:val="00CC405D"/>
    <w:rsid w:val="00CC41CD"/>
    <w:rsid w:val="00CC435D"/>
    <w:rsid w:val="00CC449A"/>
    <w:rsid w:val="00CC44C8"/>
    <w:rsid w:val="00CC45C4"/>
    <w:rsid w:val="00CC48B1"/>
    <w:rsid w:val="00CC49C9"/>
    <w:rsid w:val="00CC49D9"/>
    <w:rsid w:val="00CC4DC7"/>
    <w:rsid w:val="00CC4DF2"/>
    <w:rsid w:val="00CC5061"/>
    <w:rsid w:val="00CC57EB"/>
    <w:rsid w:val="00CC5D0F"/>
    <w:rsid w:val="00CC60ED"/>
    <w:rsid w:val="00CC625C"/>
    <w:rsid w:val="00CC62DD"/>
    <w:rsid w:val="00CC6565"/>
    <w:rsid w:val="00CC663E"/>
    <w:rsid w:val="00CC66BB"/>
    <w:rsid w:val="00CC6C3F"/>
    <w:rsid w:val="00CC7083"/>
    <w:rsid w:val="00CC72F8"/>
    <w:rsid w:val="00CC7671"/>
    <w:rsid w:val="00CC76A7"/>
    <w:rsid w:val="00CC79D3"/>
    <w:rsid w:val="00CC7A37"/>
    <w:rsid w:val="00CD0008"/>
    <w:rsid w:val="00CD0176"/>
    <w:rsid w:val="00CD06DB"/>
    <w:rsid w:val="00CD089C"/>
    <w:rsid w:val="00CD08DB"/>
    <w:rsid w:val="00CD0996"/>
    <w:rsid w:val="00CD0AFD"/>
    <w:rsid w:val="00CD0E2A"/>
    <w:rsid w:val="00CD0ECB"/>
    <w:rsid w:val="00CD0F33"/>
    <w:rsid w:val="00CD1342"/>
    <w:rsid w:val="00CD1402"/>
    <w:rsid w:val="00CD1582"/>
    <w:rsid w:val="00CD181E"/>
    <w:rsid w:val="00CD18D5"/>
    <w:rsid w:val="00CD18E4"/>
    <w:rsid w:val="00CD1DCC"/>
    <w:rsid w:val="00CD1F94"/>
    <w:rsid w:val="00CD213B"/>
    <w:rsid w:val="00CD224E"/>
    <w:rsid w:val="00CD245C"/>
    <w:rsid w:val="00CD2565"/>
    <w:rsid w:val="00CD26B1"/>
    <w:rsid w:val="00CD270D"/>
    <w:rsid w:val="00CD271E"/>
    <w:rsid w:val="00CD2ABD"/>
    <w:rsid w:val="00CD2B75"/>
    <w:rsid w:val="00CD2BB8"/>
    <w:rsid w:val="00CD2C23"/>
    <w:rsid w:val="00CD2D96"/>
    <w:rsid w:val="00CD31EB"/>
    <w:rsid w:val="00CD347D"/>
    <w:rsid w:val="00CD352D"/>
    <w:rsid w:val="00CD35D2"/>
    <w:rsid w:val="00CD3747"/>
    <w:rsid w:val="00CD37EC"/>
    <w:rsid w:val="00CD3CDA"/>
    <w:rsid w:val="00CD3D2A"/>
    <w:rsid w:val="00CD3E3C"/>
    <w:rsid w:val="00CD3F7D"/>
    <w:rsid w:val="00CD3FB0"/>
    <w:rsid w:val="00CD4025"/>
    <w:rsid w:val="00CD414E"/>
    <w:rsid w:val="00CD4219"/>
    <w:rsid w:val="00CD43E4"/>
    <w:rsid w:val="00CD4505"/>
    <w:rsid w:val="00CD458B"/>
    <w:rsid w:val="00CD46BD"/>
    <w:rsid w:val="00CD4827"/>
    <w:rsid w:val="00CD496E"/>
    <w:rsid w:val="00CD4B89"/>
    <w:rsid w:val="00CD4BDE"/>
    <w:rsid w:val="00CD4C78"/>
    <w:rsid w:val="00CD4F27"/>
    <w:rsid w:val="00CD51F6"/>
    <w:rsid w:val="00CD53A6"/>
    <w:rsid w:val="00CD577B"/>
    <w:rsid w:val="00CD58B9"/>
    <w:rsid w:val="00CD5AA4"/>
    <w:rsid w:val="00CD5AF9"/>
    <w:rsid w:val="00CD5C33"/>
    <w:rsid w:val="00CD5CA9"/>
    <w:rsid w:val="00CD5E39"/>
    <w:rsid w:val="00CD5F89"/>
    <w:rsid w:val="00CD6693"/>
    <w:rsid w:val="00CD697B"/>
    <w:rsid w:val="00CD6EFD"/>
    <w:rsid w:val="00CD70EF"/>
    <w:rsid w:val="00CD70FA"/>
    <w:rsid w:val="00CD71E9"/>
    <w:rsid w:val="00CD7334"/>
    <w:rsid w:val="00CD7361"/>
    <w:rsid w:val="00CD743C"/>
    <w:rsid w:val="00CD7767"/>
    <w:rsid w:val="00CD78A5"/>
    <w:rsid w:val="00CE0261"/>
    <w:rsid w:val="00CE034D"/>
    <w:rsid w:val="00CE0366"/>
    <w:rsid w:val="00CE0459"/>
    <w:rsid w:val="00CE0591"/>
    <w:rsid w:val="00CE07A5"/>
    <w:rsid w:val="00CE0B11"/>
    <w:rsid w:val="00CE0DE2"/>
    <w:rsid w:val="00CE0FC7"/>
    <w:rsid w:val="00CE1258"/>
    <w:rsid w:val="00CE14E2"/>
    <w:rsid w:val="00CE1A1D"/>
    <w:rsid w:val="00CE1B11"/>
    <w:rsid w:val="00CE1C27"/>
    <w:rsid w:val="00CE1C6F"/>
    <w:rsid w:val="00CE1F7D"/>
    <w:rsid w:val="00CE2057"/>
    <w:rsid w:val="00CE2127"/>
    <w:rsid w:val="00CE2148"/>
    <w:rsid w:val="00CE2175"/>
    <w:rsid w:val="00CE23A5"/>
    <w:rsid w:val="00CE241A"/>
    <w:rsid w:val="00CE2488"/>
    <w:rsid w:val="00CE2870"/>
    <w:rsid w:val="00CE299E"/>
    <w:rsid w:val="00CE2E15"/>
    <w:rsid w:val="00CE2F67"/>
    <w:rsid w:val="00CE3023"/>
    <w:rsid w:val="00CE324D"/>
    <w:rsid w:val="00CE3315"/>
    <w:rsid w:val="00CE3346"/>
    <w:rsid w:val="00CE33F4"/>
    <w:rsid w:val="00CE349B"/>
    <w:rsid w:val="00CE34CA"/>
    <w:rsid w:val="00CE359D"/>
    <w:rsid w:val="00CE3602"/>
    <w:rsid w:val="00CE3AFE"/>
    <w:rsid w:val="00CE4035"/>
    <w:rsid w:val="00CE41F3"/>
    <w:rsid w:val="00CE425A"/>
    <w:rsid w:val="00CE4266"/>
    <w:rsid w:val="00CE4409"/>
    <w:rsid w:val="00CE490D"/>
    <w:rsid w:val="00CE4A75"/>
    <w:rsid w:val="00CE4BCC"/>
    <w:rsid w:val="00CE4F9F"/>
    <w:rsid w:val="00CE4FE4"/>
    <w:rsid w:val="00CE522D"/>
    <w:rsid w:val="00CE5517"/>
    <w:rsid w:val="00CE5630"/>
    <w:rsid w:val="00CE5671"/>
    <w:rsid w:val="00CE59A3"/>
    <w:rsid w:val="00CE5B18"/>
    <w:rsid w:val="00CE5CC4"/>
    <w:rsid w:val="00CE60DF"/>
    <w:rsid w:val="00CE60F2"/>
    <w:rsid w:val="00CE64DD"/>
    <w:rsid w:val="00CE6856"/>
    <w:rsid w:val="00CE6878"/>
    <w:rsid w:val="00CE690E"/>
    <w:rsid w:val="00CE6D00"/>
    <w:rsid w:val="00CE6E3D"/>
    <w:rsid w:val="00CE6F49"/>
    <w:rsid w:val="00CE7147"/>
    <w:rsid w:val="00CE72C2"/>
    <w:rsid w:val="00CE7816"/>
    <w:rsid w:val="00CE7A21"/>
    <w:rsid w:val="00CE7AAE"/>
    <w:rsid w:val="00CE7BA6"/>
    <w:rsid w:val="00CE7D9C"/>
    <w:rsid w:val="00CE7E55"/>
    <w:rsid w:val="00CE7EE0"/>
    <w:rsid w:val="00CF0137"/>
    <w:rsid w:val="00CF02AF"/>
    <w:rsid w:val="00CF03F1"/>
    <w:rsid w:val="00CF060F"/>
    <w:rsid w:val="00CF071A"/>
    <w:rsid w:val="00CF0764"/>
    <w:rsid w:val="00CF0A62"/>
    <w:rsid w:val="00CF12A5"/>
    <w:rsid w:val="00CF12A7"/>
    <w:rsid w:val="00CF13CA"/>
    <w:rsid w:val="00CF18C0"/>
    <w:rsid w:val="00CF190D"/>
    <w:rsid w:val="00CF1993"/>
    <w:rsid w:val="00CF1BA2"/>
    <w:rsid w:val="00CF1D7D"/>
    <w:rsid w:val="00CF1F82"/>
    <w:rsid w:val="00CF2034"/>
    <w:rsid w:val="00CF2120"/>
    <w:rsid w:val="00CF21B9"/>
    <w:rsid w:val="00CF21DF"/>
    <w:rsid w:val="00CF24F7"/>
    <w:rsid w:val="00CF2562"/>
    <w:rsid w:val="00CF28AE"/>
    <w:rsid w:val="00CF2B15"/>
    <w:rsid w:val="00CF2B17"/>
    <w:rsid w:val="00CF2C21"/>
    <w:rsid w:val="00CF33F6"/>
    <w:rsid w:val="00CF34D6"/>
    <w:rsid w:val="00CF34E3"/>
    <w:rsid w:val="00CF373B"/>
    <w:rsid w:val="00CF381D"/>
    <w:rsid w:val="00CF3A23"/>
    <w:rsid w:val="00CF3BD1"/>
    <w:rsid w:val="00CF3D68"/>
    <w:rsid w:val="00CF3E55"/>
    <w:rsid w:val="00CF43E5"/>
    <w:rsid w:val="00CF45D8"/>
    <w:rsid w:val="00CF4634"/>
    <w:rsid w:val="00CF4984"/>
    <w:rsid w:val="00CF4A3A"/>
    <w:rsid w:val="00CF4AEE"/>
    <w:rsid w:val="00CF4AF8"/>
    <w:rsid w:val="00CF4C33"/>
    <w:rsid w:val="00CF4DCD"/>
    <w:rsid w:val="00CF4EB8"/>
    <w:rsid w:val="00CF4F2E"/>
    <w:rsid w:val="00CF4F5E"/>
    <w:rsid w:val="00CF5098"/>
    <w:rsid w:val="00CF53BF"/>
    <w:rsid w:val="00CF54EB"/>
    <w:rsid w:val="00CF54FF"/>
    <w:rsid w:val="00CF587C"/>
    <w:rsid w:val="00CF5E62"/>
    <w:rsid w:val="00CF5E7B"/>
    <w:rsid w:val="00CF5F87"/>
    <w:rsid w:val="00CF613F"/>
    <w:rsid w:val="00CF64E9"/>
    <w:rsid w:val="00CF650D"/>
    <w:rsid w:val="00CF6AB8"/>
    <w:rsid w:val="00CF6E25"/>
    <w:rsid w:val="00CF75BD"/>
    <w:rsid w:val="00CF7776"/>
    <w:rsid w:val="00CF7927"/>
    <w:rsid w:val="00CF79B8"/>
    <w:rsid w:val="00CF7A87"/>
    <w:rsid w:val="00CF7EF4"/>
    <w:rsid w:val="00CF7F27"/>
    <w:rsid w:val="00D00032"/>
    <w:rsid w:val="00D0003B"/>
    <w:rsid w:val="00D00248"/>
    <w:rsid w:val="00D003BB"/>
    <w:rsid w:val="00D004F1"/>
    <w:rsid w:val="00D005D2"/>
    <w:rsid w:val="00D005F3"/>
    <w:rsid w:val="00D00699"/>
    <w:rsid w:val="00D006B1"/>
    <w:rsid w:val="00D007F1"/>
    <w:rsid w:val="00D0081B"/>
    <w:rsid w:val="00D00829"/>
    <w:rsid w:val="00D00991"/>
    <w:rsid w:val="00D00ADB"/>
    <w:rsid w:val="00D00AEE"/>
    <w:rsid w:val="00D00C0F"/>
    <w:rsid w:val="00D00DCC"/>
    <w:rsid w:val="00D01396"/>
    <w:rsid w:val="00D016F4"/>
    <w:rsid w:val="00D01915"/>
    <w:rsid w:val="00D01AE5"/>
    <w:rsid w:val="00D01C10"/>
    <w:rsid w:val="00D01C20"/>
    <w:rsid w:val="00D01F1F"/>
    <w:rsid w:val="00D0211B"/>
    <w:rsid w:val="00D02186"/>
    <w:rsid w:val="00D02383"/>
    <w:rsid w:val="00D02430"/>
    <w:rsid w:val="00D02682"/>
    <w:rsid w:val="00D0282A"/>
    <w:rsid w:val="00D02D0D"/>
    <w:rsid w:val="00D02E0C"/>
    <w:rsid w:val="00D0302B"/>
    <w:rsid w:val="00D0307D"/>
    <w:rsid w:val="00D0308D"/>
    <w:rsid w:val="00D034C9"/>
    <w:rsid w:val="00D034F7"/>
    <w:rsid w:val="00D0377E"/>
    <w:rsid w:val="00D0382E"/>
    <w:rsid w:val="00D03B18"/>
    <w:rsid w:val="00D03D30"/>
    <w:rsid w:val="00D03D4E"/>
    <w:rsid w:val="00D03DB8"/>
    <w:rsid w:val="00D03E0E"/>
    <w:rsid w:val="00D03F28"/>
    <w:rsid w:val="00D03FBD"/>
    <w:rsid w:val="00D040AE"/>
    <w:rsid w:val="00D042CC"/>
    <w:rsid w:val="00D043A4"/>
    <w:rsid w:val="00D04587"/>
    <w:rsid w:val="00D04761"/>
    <w:rsid w:val="00D04A32"/>
    <w:rsid w:val="00D04B9B"/>
    <w:rsid w:val="00D04BDB"/>
    <w:rsid w:val="00D04C6D"/>
    <w:rsid w:val="00D05493"/>
    <w:rsid w:val="00D0581A"/>
    <w:rsid w:val="00D05A0A"/>
    <w:rsid w:val="00D05E31"/>
    <w:rsid w:val="00D06346"/>
    <w:rsid w:val="00D064BE"/>
    <w:rsid w:val="00D0663F"/>
    <w:rsid w:val="00D0677B"/>
    <w:rsid w:val="00D06A10"/>
    <w:rsid w:val="00D06B7C"/>
    <w:rsid w:val="00D06CE6"/>
    <w:rsid w:val="00D06DA9"/>
    <w:rsid w:val="00D0742B"/>
    <w:rsid w:val="00D07519"/>
    <w:rsid w:val="00D076E1"/>
    <w:rsid w:val="00D07A9E"/>
    <w:rsid w:val="00D07D1C"/>
    <w:rsid w:val="00D1011D"/>
    <w:rsid w:val="00D10828"/>
    <w:rsid w:val="00D108D6"/>
    <w:rsid w:val="00D10B7D"/>
    <w:rsid w:val="00D10BF7"/>
    <w:rsid w:val="00D11313"/>
    <w:rsid w:val="00D114E2"/>
    <w:rsid w:val="00D115DC"/>
    <w:rsid w:val="00D116BB"/>
    <w:rsid w:val="00D116F0"/>
    <w:rsid w:val="00D1174D"/>
    <w:rsid w:val="00D117B7"/>
    <w:rsid w:val="00D1184E"/>
    <w:rsid w:val="00D11BF6"/>
    <w:rsid w:val="00D11C22"/>
    <w:rsid w:val="00D11CB5"/>
    <w:rsid w:val="00D11EED"/>
    <w:rsid w:val="00D11F34"/>
    <w:rsid w:val="00D12026"/>
    <w:rsid w:val="00D1206C"/>
    <w:rsid w:val="00D12098"/>
    <w:rsid w:val="00D12957"/>
    <w:rsid w:val="00D12B3F"/>
    <w:rsid w:val="00D12C6B"/>
    <w:rsid w:val="00D1328C"/>
    <w:rsid w:val="00D134BF"/>
    <w:rsid w:val="00D134C6"/>
    <w:rsid w:val="00D135A1"/>
    <w:rsid w:val="00D13915"/>
    <w:rsid w:val="00D13982"/>
    <w:rsid w:val="00D13DB1"/>
    <w:rsid w:val="00D13F52"/>
    <w:rsid w:val="00D14070"/>
    <w:rsid w:val="00D1424D"/>
    <w:rsid w:val="00D14377"/>
    <w:rsid w:val="00D14440"/>
    <w:rsid w:val="00D14488"/>
    <w:rsid w:val="00D14858"/>
    <w:rsid w:val="00D1485A"/>
    <w:rsid w:val="00D14956"/>
    <w:rsid w:val="00D149B8"/>
    <w:rsid w:val="00D14ABB"/>
    <w:rsid w:val="00D14CBB"/>
    <w:rsid w:val="00D14DC4"/>
    <w:rsid w:val="00D15341"/>
    <w:rsid w:val="00D1536E"/>
    <w:rsid w:val="00D15467"/>
    <w:rsid w:val="00D154E3"/>
    <w:rsid w:val="00D15529"/>
    <w:rsid w:val="00D15871"/>
    <w:rsid w:val="00D15990"/>
    <w:rsid w:val="00D15A1D"/>
    <w:rsid w:val="00D15BA5"/>
    <w:rsid w:val="00D15CE6"/>
    <w:rsid w:val="00D16174"/>
    <w:rsid w:val="00D161E2"/>
    <w:rsid w:val="00D162A2"/>
    <w:rsid w:val="00D164AB"/>
    <w:rsid w:val="00D1651C"/>
    <w:rsid w:val="00D1656F"/>
    <w:rsid w:val="00D16719"/>
    <w:rsid w:val="00D16980"/>
    <w:rsid w:val="00D16CCC"/>
    <w:rsid w:val="00D17385"/>
    <w:rsid w:val="00D173C1"/>
    <w:rsid w:val="00D1757E"/>
    <w:rsid w:val="00D17630"/>
    <w:rsid w:val="00D1765A"/>
    <w:rsid w:val="00D176A3"/>
    <w:rsid w:val="00D177C5"/>
    <w:rsid w:val="00D17DB9"/>
    <w:rsid w:val="00D17EB0"/>
    <w:rsid w:val="00D17ECB"/>
    <w:rsid w:val="00D20429"/>
    <w:rsid w:val="00D20432"/>
    <w:rsid w:val="00D20AA1"/>
    <w:rsid w:val="00D20B32"/>
    <w:rsid w:val="00D20BE7"/>
    <w:rsid w:val="00D20F6A"/>
    <w:rsid w:val="00D21005"/>
    <w:rsid w:val="00D21079"/>
    <w:rsid w:val="00D210B8"/>
    <w:rsid w:val="00D213A6"/>
    <w:rsid w:val="00D21A97"/>
    <w:rsid w:val="00D21CF1"/>
    <w:rsid w:val="00D21D24"/>
    <w:rsid w:val="00D21D77"/>
    <w:rsid w:val="00D21FC0"/>
    <w:rsid w:val="00D221A7"/>
    <w:rsid w:val="00D22384"/>
    <w:rsid w:val="00D22535"/>
    <w:rsid w:val="00D225D5"/>
    <w:rsid w:val="00D225DA"/>
    <w:rsid w:val="00D22872"/>
    <w:rsid w:val="00D22B71"/>
    <w:rsid w:val="00D22BE2"/>
    <w:rsid w:val="00D23141"/>
    <w:rsid w:val="00D23564"/>
    <w:rsid w:val="00D2368F"/>
    <w:rsid w:val="00D238B7"/>
    <w:rsid w:val="00D2392A"/>
    <w:rsid w:val="00D23A3D"/>
    <w:rsid w:val="00D23DE9"/>
    <w:rsid w:val="00D23F8C"/>
    <w:rsid w:val="00D2449C"/>
    <w:rsid w:val="00D24923"/>
    <w:rsid w:val="00D24941"/>
    <w:rsid w:val="00D249D1"/>
    <w:rsid w:val="00D24A2D"/>
    <w:rsid w:val="00D24C80"/>
    <w:rsid w:val="00D24D8A"/>
    <w:rsid w:val="00D25026"/>
    <w:rsid w:val="00D250A5"/>
    <w:rsid w:val="00D257FE"/>
    <w:rsid w:val="00D25859"/>
    <w:rsid w:val="00D2585C"/>
    <w:rsid w:val="00D25D8A"/>
    <w:rsid w:val="00D25E1D"/>
    <w:rsid w:val="00D25E20"/>
    <w:rsid w:val="00D25EF0"/>
    <w:rsid w:val="00D260D2"/>
    <w:rsid w:val="00D2632A"/>
    <w:rsid w:val="00D2641D"/>
    <w:rsid w:val="00D26481"/>
    <w:rsid w:val="00D26512"/>
    <w:rsid w:val="00D26588"/>
    <w:rsid w:val="00D26691"/>
    <w:rsid w:val="00D266F1"/>
    <w:rsid w:val="00D268A6"/>
    <w:rsid w:val="00D26A08"/>
    <w:rsid w:val="00D26E30"/>
    <w:rsid w:val="00D270DA"/>
    <w:rsid w:val="00D27624"/>
    <w:rsid w:val="00D27AD2"/>
    <w:rsid w:val="00D27B0B"/>
    <w:rsid w:val="00D27BFA"/>
    <w:rsid w:val="00D27C08"/>
    <w:rsid w:val="00D27C1C"/>
    <w:rsid w:val="00D27E40"/>
    <w:rsid w:val="00D30148"/>
    <w:rsid w:val="00D30179"/>
    <w:rsid w:val="00D30823"/>
    <w:rsid w:val="00D30896"/>
    <w:rsid w:val="00D30946"/>
    <w:rsid w:val="00D30ACD"/>
    <w:rsid w:val="00D30D58"/>
    <w:rsid w:val="00D30FA8"/>
    <w:rsid w:val="00D30FDE"/>
    <w:rsid w:val="00D3120E"/>
    <w:rsid w:val="00D3130D"/>
    <w:rsid w:val="00D3139F"/>
    <w:rsid w:val="00D31E37"/>
    <w:rsid w:val="00D32066"/>
    <w:rsid w:val="00D32584"/>
    <w:rsid w:val="00D3280B"/>
    <w:rsid w:val="00D3286F"/>
    <w:rsid w:val="00D3287D"/>
    <w:rsid w:val="00D32A29"/>
    <w:rsid w:val="00D32B00"/>
    <w:rsid w:val="00D32C30"/>
    <w:rsid w:val="00D32D14"/>
    <w:rsid w:val="00D32EEB"/>
    <w:rsid w:val="00D3308D"/>
    <w:rsid w:val="00D330FA"/>
    <w:rsid w:val="00D3313B"/>
    <w:rsid w:val="00D331B9"/>
    <w:rsid w:val="00D33346"/>
    <w:rsid w:val="00D3348B"/>
    <w:rsid w:val="00D337D8"/>
    <w:rsid w:val="00D33BF9"/>
    <w:rsid w:val="00D342EE"/>
    <w:rsid w:val="00D3443B"/>
    <w:rsid w:val="00D34767"/>
    <w:rsid w:val="00D34B28"/>
    <w:rsid w:val="00D34DBF"/>
    <w:rsid w:val="00D35129"/>
    <w:rsid w:val="00D35277"/>
    <w:rsid w:val="00D3537B"/>
    <w:rsid w:val="00D35589"/>
    <w:rsid w:val="00D3582E"/>
    <w:rsid w:val="00D358D9"/>
    <w:rsid w:val="00D35AFB"/>
    <w:rsid w:val="00D35C5D"/>
    <w:rsid w:val="00D35C9F"/>
    <w:rsid w:val="00D35DA6"/>
    <w:rsid w:val="00D35FB7"/>
    <w:rsid w:val="00D36004"/>
    <w:rsid w:val="00D36251"/>
    <w:rsid w:val="00D3662E"/>
    <w:rsid w:val="00D36635"/>
    <w:rsid w:val="00D36667"/>
    <w:rsid w:val="00D3670C"/>
    <w:rsid w:val="00D3686D"/>
    <w:rsid w:val="00D36AAB"/>
    <w:rsid w:val="00D36ADA"/>
    <w:rsid w:val="00D36FBB"/>
    <w:rsid w:val="00D37894"/>
    <w:rsid w:val="00D37935"/>
    <w:rsid w:val="00D37A0C"/>
    <w:rsid w:val="00D37D5A"/>
    <w:rsid w:val="00D37FF2"/>
    <w:rsid w:val="00D4012F"/>
    <w:rsid w:val="00D40330"/>
    <w:rsid w:val="00D4035D"/>
    <w:rsid w:val="00D403CA"/>
    <w:rsid w:val="00D40ABE"/>
    <w:rsid w:val="00D40D69"/>
    <w:rsid w:val="00D40E6F"/>
    <w:rsid w:val="00D40EC5"/>
    <w:rsid w:val="00D4133B"/>
    <w:rsid w:val="00D413C1"/>
    <w:rsid w:val="00D4186F"/>
    <w:rsid w:val="00D41987"/>
    <w:rsid w:val="00D41A69"/>
    <w:rsid w:val="00D41AD8"/>
    <w:rsid w:val="00D41B7B"/>
    <w:rsid w:val="00D41CEA"/>
    <w:rsid w:val="00D41CF8"/>
    <w:rsid w:val="00D420ED"/>
    <w:rsid w:val="00D422CD"/>
    <w:rsid w:val="00D424DD"/>
    <w:rsid w:val="00D426F5"/>
    <w:rsid w:val="00D42781"/>
    <w:rsid w:val="00D4291A"/>
    <w:rsid w:val="00D42A0D"/>
    <w:rsid w:val="00D43003"/>
    <w:rsid w:val="00D4368B"/>
    <w:rsid w:val="00D436E6"/>
    <w:rsid w:val="00D437E6"/>
    <w:rsid w:val="00D43927"/>
    <w:rsid w:val="00D439D7"/>
    <w:rsid w:val="00D43F78"/>
    <w:rsid w:val="00D44093"/>
    <w:rsid w:val="00D4416B"/>
    <w:rsid w:val="00D44308"/>
    <w:rsid w:val="00D444BB"/>
    <w:rsid w:val="00D44535"/>
    <w:rsid w:val="00D4455F"/>
    <w:rsid w:val="00D44F53"/>
    <w:rsid w:val="00D45181"/>
    <w:rsid w:val="00D45442"/>
    <w:rsid w:val="00D454B2"/>
    <w:rsid w:val="00D45648"/>
    <w:rsid w:val="00D458E8"/>
    <w:rsid w:val="00D459D4"/>
    <w:rsid w:val="00D45B0D"/>
    <w:rsid w:val="00D45DDE"/>
    <w:rsid w:val="00D45F5F"/>
    <w:rsid w:val="00D462EC"/>
    <w:rsid w:val="00D46593"/>
    <w:rsid w:val="00D46800"/>
    <w:rsid w:val="00D46864"/>
    <w:rsid w:val="00D46B9F"/>
    <w:rsid w:val="00D46BA8"/>
    <w:rsid w:val="00D46C01"/>
    <w:rsid w:val="00D46F5B"/>
    <w:rsid w:val="00D470F0"/>
    <w:rsid w:val="00D47938"/>
    <w:rsid w:val="00D47C43"/>
    <w:rsid w:val="00D47D79"/>
    <w:rsid w:val="00D504F1"/>
    <w:rsid w:val="00D506DC"/>
    <w:rsid w:val="00D50793"/>
    <w:rsid w:val="00D509A7"/>
    <w:rsid w:val="00D50E01"/>
    <w:rsid w:val="00D50FAD"/>
    <w:rsid w:val="00D5129E"/>
    <w:rsid w:val="00D515E5"/>
    <w:rsid w:val="00D51AB9"/>
    <w:rsid w:val="00D51FFE"/>
    <w:rsid w:val="00D52078"/>
    <w:rsid w:val="00D524FC"/>
    <w:rsid w:val="00D525BA"/>
    <w:rsid w:val="00D525E2"/>
    <w:rsid w:val="00D52809"/>
    <w:rsid w:val="00D5286F"/>
    <w:rsid w:val="00D52A8D"/>
    <w:rsid w:val="00D52C68"/>
    <w:rsid w:val="00D534EB"/>
    <w:rsid w:val="00D537BB"/>
    <w:rsid w:val="00D5390D"/>
    <w:rsid w:val="00D53A4B"/>
    <w:rsid w:val="00D53BA4"/>
    <w:rsid w:val="00D53D70"/>
    <w:rsid w:val="00D53EE1"/>
    <w:rsid w:val="00D5410B"/>
    <w:rsid w:val="00D541EE"/>
    <w:rsid w:val="00D544AC"/>
    <w:rsid w:val="00D5468F"/>
    <w:rsid w:val="00D54825"/>
    <w:rsid w:val="00D54AD0"/>
    <w:rsid w:val="00D54AE7"/>
    <w:rsid w:val="00D54B60"/>
    <w:rsid w:val="00D54BA6"/>
    <w:rsid w:val="00D54C0A"/>
    <w:rsid w:val="00D54E48"/>
    <w:rsid w:val="00D54F0D"/>
    <w:rsid w:val="00D5517C"/>
    <w:rsid w:val="00D55213"/>
    <w:rsid w:val="00D55459"/>
    <w:rsid w:val="00D554D4"/>
    <w:rsid w:val="00D5575F"/>
    <w:rsid w:val="00D55AA5"/>
    <w:rsid w:val="00D55BD8"/>
    <w:rsid w:val="00D56141"/>
    <w:rsid w:val="00D56161"/>
    <w:rsid w:val="00D562B3"/>
    <w:rsid w:val="00D56381"/>
    <w:rsid w:val="00D565B6"/>
    <w:rsid w:val="00D56776"/>
    <w:rsid w:val="00D56AD8"/>
    <w:rsid w:val="00D56BF6"/>
    <w:rsid w:val="00D56C1D"/>
    <w:rsid w:val="00D56C42"/>
    <w:rsid w:val="00D56C52"/>
    <w:rsid w:val="00D56CFB"/>
    <w:rsid w:val="00D56D64"/>
    <w:rsid w:val="00D56EAC"/>
    <w:rsid w:val="00D56F44"/>
    <w:rsid w:val="00D5725D"/>
    <w:rsid w:val="00D574D2"/>
    <w:rsid w:val="00D57847"/>
    <w:rsid w:val="00D57894"/>
    <w:rsid w:val="00D578CF"/>
    <w:rsid w:val="00D57B23"/>
    <w:rsid w:val="00D57C7C"/>
    <w:rsid w:val="00D57E1B"/>
    <w:rsid w:val="00D57E71"/>
    <w:rsid w:val="00D57EB5"/>
    <w:rsid w:val="00D57F5C"/>
    <w:rsid w:val="00D60413"/>
    <w:rsid w:val="00D6099F"/>
    <w:rsid w:val="00D60C0D"/>
    <w:rsid w:val="00D60E3E"/>
    <w:rsid w:val="00D60EF3"/>
    <w:rsid w:val="00D61079"/>
    <w:rsid w:val="00D613DE"/>
    <w:rsid w:val="00D61433"/>
    <w:rsid w:val="00D6147D"/>
    <w:rsid w:val="00D6152F"/>
    <w:rsid w:val="00D61B19"/>
    <w:rsid w:val="00D61C70"/>
    <w:rsid w:val="00D61D6A"/>
    <w:rsid w:val="00D61E48"/>
    <w:rsid w:val="00D620FB"/>
    <w:rsid w:val="00D62309"/>
    <w:rsid w:val="00D623B8"/>
    <w:rsid w:val="00D62A70"/>
    <w:rsid w:val="00D62F60"/>
    <w:rsid w:val="00D63008"/>
    <w:rsid w:val="00D63035"/>
    <w:rsid w:val="00D63051"/>
    <w:rsid w:val="00D630D1"/>
    <w:rsid w:val="00D6314E"/>
    <w:rsid w:val="00D6318F"/>
    <w:rsid w:val="00D6337D"/>
    <w:rsid w:val="00D63493"/>
    <w:rsid w:val="00D636E1"/>
    <w:rsid w:val="00D637B4"/>
    <w:rsid w:val="00D639F8"/>
    <w:rsid w:val="00D63B6A"/>
    <w:rsid w:val="00D63D7F"/>
    <w:rsid w:val="00D64029"/>
    <w:rsid w:val="00D643BF"/>
    <w:rsid w:val="00D645B5"/>
    <w:rsid w:val="00D645BA"/>
    <w:rsid w:val="00D6471B"/>
    <w:rsid w:val="00D64856"/>
    <w:rsid w:val="00D649CF"/>
    <w:rsid w:val="00D64A84"/>
    <w:rsid w:val="00D64B64"/>
    <w:rsid w:val="00D64C1C"/>
    <w:rsid w:val="00D64C60"/>
    <w:rsid w:val="00D64C90"/>
    <w:rsid w:val="00D64F83"/>
    <w:rsid w:val="00D650A4"/>
    <w:rsid w:val="00D652B0"/>
    <w:rsid w:val="00D65501"/>
    <w:rsid w:val="00D65620"/>
    <w:rsid w:val="00D656A6"/>
    <w:rsid w:val="00D656BB"/>
    <w:rsid w:val="00D6573C"/>
    <w:rsid w:val="00D6580B"/>
    <w:rsid w:val="00D659FC"/>
    <w:rsid w:val="00D65A1B"/>
    <w:rsid w:val="00D65B2C"/>
    <w:rsid w:val="00D65CBB"/>
    <w:rsid w:val="00D65D46"/>
    <w:rsid w:val="00D65DCF"/>
    <w:rsid w:val="00D65DF8"/>
    <w:rsid w:val="00D65E11"/>
    <w:rsid w:val="00D65E6C"/>
    <w:rsid w:val="00D65FB8"/>
    <w:rsid w:val="00D6626E"/>
    <w:rsid w:val="00D66326"/>
    <w:rsid w:val="00D6642A"/>
    <w:rsid w:val="00D6645A"/>
    <w:rsid w:val="00D668B8"/>
    <w:rsid w:val="00D668D9"/>
    <w:rsid w:val="00D668EF"/>
    <w:rsid w:val="00D66ABC"/>
    <w:rsid w:val="00D66CF1"/>
    <w:rsid w:val="00D66E0E"/>
    <w:rsid w:val="00D66EFD"/>
    <w:rsid w:val="00D670B2"/>
    <w:rsid w:val="00D670FC"/>
    <w:rsid w:val="00D673C3"/>
    <w:rsid w:val="00D674B2"/>
    <w:rsid w:val="00D6763E"/>
    <w:rsid w:val="00D676D1"/>
    <w:rsid w:val="00D677D0"/>
    <w:rsid w:val="00D677F3"/>
    <w:rsid w:val="00D67820"/>
    <w:rsid w:val="00D6783B"/>
    <w:rsid w:val="00D67954"/>
    <w:rsid w:val="00D67AE0"/>
    <w:rsid w:val="00D67BC3"/>
    <w:rsid w:val="00D67C20"/>
    <w:rsid w:val="00D67D73"/>
    <w:rsid w:val="00D67F29"/>
    <w:rsid w:val="00D701B5"/>
    <w:rsid w:val="00D707C3"/>
    <w:rsid w:val="00D70B11"/>
    <w:rsid w:val="00D71327"/>
    <w:rsid w:val="00D71484"/>
    <w:rsid w:val="00D7166A"/>
    <w:rsid w:val="00D717B8"/>
    <w:rsid w:val="00D719D1"/>
    <w:rsid w:val="00D71AA8"/>
    <w:rsid w:val="00D71C5D"/>
    <w:rsid w:val="00D71C69"/>
    <w:rsid w:val="00D71D96"/>
    <w:rsid w:val="00D71EAB"/>
    <w:rsid w:val="00D724B4"/>
    <w:rsid w:val="00D725BA"/>
    <w:rsid w:val="00D72A50"/>
    <w:rsid w:val="00D72BB6"/>
    <w:rsid w:val="00D72C1D"/>
    <w:rsid w:val="00D72C8A"/>
    <w:rsid w:val="00D73A1C"/>
    <w:rsid w:val="00D73C40"/>
    <w:rsid w:val="00D73E88"/>
    <w:rsid w:val="00D74291"/>
    <w:rsid w:val="00D744BA"/>
    <w:rsid w:val="00D7473B"/>
    <w:rsid w:val="00D748DE"/>
    <w:rsid w:val="00D74C84"/>
    <w:rsid w:val="00D74D9A"/>
    <w:rsid w:val="00D74DCA"/>
    <w:rsid w:val="00D7506F"/>
    <w:rsid w:val="00D75105"/>
    <w:rsid w:val="00D75110"/>
    <w:rsid w:val="00D75211"/>
    <w:rsid w:val="00D75272"/>
    <w:rsid w:val="00D7563F"/>
    <w:rsid w:val="00D7566F"/>
    <w:rsid w:val="00D756C3"/>
    <w:rsid w:val="00D75AF1"/>
    <w:rsid w:val="00D75B26"/>
    <w:rsid w:val="00D75C65"/>
    <w:rsid w:val="00D75C68"/>
    <w:rsid w:val="00D75CE9"/>
    <w:rsid w:val="00D75E03"/>
    <w:rsid w:val="00D75F67"/>
    <w:rsid w:val="00D75FB6"/>
    <w:rsid w:val="00D763A1"/>
    <w:rsid w:val="00D76413"/>
    <w:rsid w:val="00D76527"/>
    <w:rsid w:val="00D765DD"/>
    <w:rsid w:val="00D76758"/>
    <w:rsid w:val="00D767AC"/>
    <w:rsid w:val="00D767C0"/>
    <w:rsid w:val="00D7684D"/>
    <w:rsid w:val="00D76965"/>
    <w:rsid w:val="00D76D32"/>
    <w:rsid w:val="00D76E8C"/>
    <w:rsid w:val="00D770FF"/>
    <w:rsid w:val="00D77455"/>
    <w:rsid w:val="00D775BE"/>
    <w:rsid w:val="00D77BB9"/>
    <w:rsid w:val="00D77F2D"/>
    <w:rsid w:val="00D8016A"/>
    <w:rsid w:val="00D803AB"/>
    <w:rsid w:val="00D8047D"/>
    <w:rsid w:val="00D80511"/>
    <w:rsid w:val="00D80864"/>
    <w:rsid w:val="00D80A94"/>
    <w:rsid w:val="00D80B34"/>
    <w:rsid w:val="00D80E71"/>
    <w:rsid w:val="00D80FCA"/>
    <w:rsid w:val="00D81166"/>
    <w:rsid w:val="00D81398"/>
    <w:rsid w:val="00D8146E"/>
    <w:rsid w:val="00D81528"/>
    <w:rsid w:val="00D81562"/>
    <w:rsid w:val="00D8182E"/>
    <w:rsid w:val="00D81855"/>
    <w:rsid w:val="00D818B3"/>
    <w:rsid w:val="00D8191D"/>
    <w:rsid w:val="00D81ACF"/>
    <w:rsid w:val="00D81CEC"/>
    <w:rsid w:val="00D81CF0"/>
    <w:rsid w:val="00D820D9"/>
    <w:rsid w:val="00D8230C"/>
    <w:rsid w:val="00D823CD"/>
    <w:rsid w:val="00D82470"/>
    <w:rsid w:val="00D826DF"/>
    <w:rsid w:val="00D82709"/>
    <w:rsid w:val="00D82912"/>
    <w:rsid w:val="00D82A6E"/>
    <w:rsid w:val="00D82F24"/>
    <w:rsid w:val="00D83000"/>
    <w:rsid w:val="00D83004"/>
    <w:rsid w:val="00D83132"/>
    <w:rsid w:val="00D83170"/>
    <w:rsid w:val="00D83174"/>
    <w:rsid w:val="00D8330F"/>
    <w:rsid w:val="00D8338E"/>
    <w:rsid w:val="00D8344A"/>
    <w:rsid w:val="00D83612"/>
    <w:rsid w:val="00D83635"/>
    <w:rsid w:val="00D8393F"/>
    <w:rsid w:val="00D839ED"/>
    <w:rsid w:val="00D83B20"/>
    <w:rsid w:val="00D84170"/>
    <w:rsid w:val="00D846DC"/>
    <w:rsid w:val="00D854C7"/>
    <w:rsid w:val="00D855CC"/>
    <w:rsid w:val="00D85707"/>
    <w:rsid w:val="00D85A7D"/>
    <w:rsid w:val="00D85C70"/>
    <w:rsid w:val="00D85CB9"/>
    <w:rsid w:val="00D85EA1"/>
    <w:rsid w:val="00D86125"/>
    <w:rsid w:val="00D8620D"/>
    <w:rsid w:val="00D86212"/>
    <w:rsid w:val="00D86266"/>
    <w:rsid w:val="00D8646C"/>
    <w:rsid w:val="00D8646F"/>
    <w:rsid w:val="00D86996"/>
    <w:rsid w:val="00D869F3"/>
    <w:rsid w:val="00D86A3E"/>
    <w:rsid w:val="00D86BBE"/>
    <w:rsid w:val="00D86BED"/>
    <w:rsid w:val="00D86F6D"/>
    <w:rsid w:val="00D86FD9"/>
    <w:rsid w:val="00D871EF"/>
    <w:rsid w:val="00D87204"/>
    <w:rsid w:val="00D87385"/>
    <w:rsid w:val="00D87582"/>
    <w:rsid w:val="00D87622"/>
    <w:rsid w:val="00D877DA"/>
    <w:rsid w:val="00D878AC"/>
    <w:rsid w:val="00D87974"/>
    <w:rsid w:val="00D879E1"/>
    <w:rsid w:val="00D87CC9"/>
    <w:rsid w:val="00D87F36"/>
    <w:rsid w:val="00D900DA"/>
    <w:rsid w:val="00D90166"/>
    <w:rsid w:val="00D9025D"/>
    <w:rsid w:val="00D9060E"/>
    <w:rsid w:val="00D90618"/>
    <w:rsid w:val="00D906CD"/>
    <w:rsid w:val="00D9084D"/>
    <w:rsid w:val="00D90963"/>
    <w:rsid w:val="00D909A1"/>
    <w:rsid w:val="00D90CF4"/>
    <w:rsid w:val="00D90EA1"/>
    <w:rsid w:val="00D90F41"/>
    <w:rsid w:val="00D911C6"/>
    <w:rsid w:val="00D911C9"/>
    <w:rsid w:val="00D91367"/>
    <w:rsid w:val="00D913D1"/>
    <w:rsid w:val="00D91436"/>
    <w:rsid w:val="00D9154D"/>
    <w:rsid w:val="00D9155C"/>
    <w:rsid w:val="00D917A4"/>
    <w:rsid w:val="00D9181F"/>
    <w:rsid w:val="00D9186E"/>
    <w:rsid w:val="00D91AA1"/>
    <w:rsid w:val="00D91B4D"/>
    <w:rsid w:val="00D91C05"/>
    <w:rsid w:val="00D92005"/>
    <w:rsid w:val="00D9264C"/>
    <w:rsid w:val="00D92727"/>
    <w:rsid w:val="00D927C3"/>
    <w:rsid w:val="00D92B7D"/>
    <w:rsid w:val="00D92C80"/>
    <w:rsid w:val="00D930B2"/>
    <w:rsid w:val="00D93211"/>
    <w:rsid w:val="00D93365"/>
    <w:rsid w:val="00D93C5D"/>
    <w:rsid w:val="00D93D05"/>
    <w:rsid w:val="00D93D9A"/>
    <w:rsid w:val="00D93E4E"/>
    <w:rsid w:val="00D941EB"/>
    <w:rsid w:val="00D942C4"/>
    <w:rsid w:val="00D943F7"/>
    <w:rsid w:val="00D94425"/>
    <w:rsid w:val="00D94576"/>
    <w:rsid w:val="00D947E1"/>
    <w:rsid w:val="00D947E6"/>
    <w:rsid w:val="00D94A38"/>
    <w:rsid w:val="00D94EF4"/>
    <w:rsid w:val="00D9517D"/>
    <w:rsid w:val="00D95271"/>
    <w:rsid w:val="00D95498"/>
    <w:rsid w:val="00D9596D"/>
    <w:rsid w:val="00D95A92"/>
    <w:rsid w:val="00D95E13"/>
    <w:rsid w:val="00D962A9"/>
    <w:rsid w:val="00D962C9"/>
    <w:rsid w:val="00D96480"/>
    <w:rsid w:val="00D96611"/>
    <w:rsid w:val="00D9676E"/>
    <w:rsid w:val="00D967DC"/>
    <w:rsid w:val="00D96805"/>
    <w:rsid w:val="00D96E0A"/>
    <w:rsid w:val="00D97063"/>
    <w:rsid w:val="00D97144"/>
    <w:rsid w:val="00D974B0"/>
    <w:rsid w:val="00D97553"/>
    <w:rsid w:val="00D97968"/>
    <w:rsid w:val="00D97A21"/>
    <w:rsid w:val="00D97B78"/>
    <w:rsid w:val="00D97BA6"/>
    <w:rsid w:val="00D97D12"/>
    <w:rsid w:val="00D97DAC"/>
    <w:rsid w:val="00D97EE1"/>
    <w:rsid w:val="00D97EE8"/>
    <w:rsid w:val="00D97F88"/>
    <w:rsid w:val="00DA005C"/>
    <w:rsid w:val="00DA006D"/>
    <w:rsid w:val="00DA02BF"/>
    <w:rsid w:val="00DA02D2"/>
    <w:rsid w:val="00DA0488"/>
    <w:rsid w:val="00DA0553"/>
    <w:rsid w:val="00DA0785"/>
    <w:rsid w:val="00DA0832"/>
    <w:rsid w:val="00DA09D8"/>
    <w:rsid w:val="00DA0AD8"/>
    <w:rsid w:val="00DA0B69"/>
    <w:rsid w:val="00DA0D68"/>
    <w:rsid w:val="00DA0FDC"/>
    <w:rsid w:val="00DA145C"/>
    <w:rsid w:val="00DA14A9"/>
    <w:rsid w:val="00DA16DE"/>
    <w:rsid w:val="00DA1F50"/>
    <w:rsid w:val="00DA2063"/>
    <w:rsid w:val="00DA2155"/>
    <w:rsid w:val="00DA2241"/>
    <w:rsid w:val="00DA22A7"/>
    <w:rsid w:val="00DA2435"/>
    <w:rsid w:val="00DA269C"/>
    <w:rsid w:val="00DA2713"/>
    <w:rsid w:val="00DA272D"/>
    <w:rsid w:val="00DA286E"/>
    <w:rsid w:val="00DA2991"/>
    <w:rsid w:val="00DA2B59"/>
    <w:rsid w:val="00DA2C1C"/>
    <w:rsid w:val="00DA2D3C"/>
    <w:rsid w:val="00DA2E5B"/>
    <w:rsid w:val="00DA3186"/>
    <w:rsid w:val="00DA34A5"/>
    <w:rsid w:val="00DA361D"/>
    <w:rsid w:val="00DA3CBF"/>
    <w:rsid w:val="00DA3CD1"/>
    <w:rsid w:val="00DA3DF3"/>
    <w:rsid w:val="00DA3FF2"/>
    <w:rsid w:val="00DA4044"/>
    <w:rsid w:val="00DA4070"/>
    <w:rsid w:val="00DA4443"/>
    <w:rsid w:val="00DA44D2"/>
    <w:rsid w:val="00DA4794"/>
    <w:rsid w:val="00DA496F"/>
    <w:rsid w:val="00DA4CDE"/>
    <w:rsid w:val="00DA4CF7"/>
    <w:rsid w:val="00DA4E01"/>
    <w:rsid w:val="00DA4E7C"/>
    <w:rsid w:val="00DA4EC1"/>
    <w:rsid w:val="00DA4F59"/>
    <w:rsid w:val="00DA4FE0"/>
    <w:rsid w:val="00DA5B08"/>
    <w:rsid w:val="00DA5BFC"/>
    <w:rsid w:val="00DA5FA9"/>
    <w:rsid w:val="00DA604D"/>
    <w:rsid w:val="00DA64C2"/>
    <w:rsid w:val="00DA654A"/>
    <w:rsid w:val="00DA67D9"/>
    <w:rsid w:val="00DA69A4"/>
    <w:rsid w:val="00DA6A4B"/>
    <w:rsid w:val="00DA6A62"/>
    <w:rsid w:val="00DA6CA2"/>
    <w:rsid w:val="00DA6CAF"/>
    <w:rsid w:val="00DA6D78"/>
    <w:rsid w:val="00DA6FD3"/>
    <w:rsid w:val="00DA71AD"/>
    <w:rsid w:val="00DA73CC"/>
    <w:rsid w:val="00DA74C8"/>
    <w:rsid w:val="00DA7628"/>
    <w:rsid w:val="00DA7687"/>
    <w:rsid w:val="00DA78F1"/>
    <w:rsid w:val="00DA7A90"/>
    <w:rsid w:val="00DB02F4"/>
    <w:rsid w:val="00DB0313"/>
    <w:rsid w:val="00DB0491"/>
    <w:rsid w:val="00DB049E"/>
    <w:rsid w:val="00DB04B6"/>
    <w:rsid w:val="00DB05AF"/>
    <w:rsid w:val="00DB06EA"/>
    <w:rsid w:val="00DB07E4"/>
    <w:rsid w:val="00DB09B7"/>
    <w:rsid w:val="00DB0A42"/>
    <w:rsid w:val="00DB0B83"/>
    <w:rsid w:val="00DB0F72"/>
    <w:rsid w:val="00DB1370"/>
    <w:rsid w:val="00DB142E"/>
    <w:rsid w:val="00DB1699"/>
    <w:rsid w:val="00DB181C"/>
    <w:rsid w:val="00DB1D65"/>
    <w:rsid w:val="00DB1D9E"/>
    <w:rsid w:val="00DB210E"/>
    <w:rsid w:val="00DB2241"/>
    <w:rsid w:val="00DB22CE"/>
    <w:rsid w:val="00DB264C"/>
    <w:rsid w:val="00DB287B"/>
    <w:rsid w:val="00DB29B9"/>
    <w:rsid w:val="00DB29E8"/>
    <w:rsid w:val="00DB2B6B"/>
    <w:rsid w:val="00DB2BB2"/>
    <w:rsid w:val="00DB2FC7"/>
    <w:rsid w:val="00DB32D7"/>
    <w:rsid w:val="00DB3A6C"/>
    <w:rsid w:val="00DB3B0E"/>
    <w:rsid w:val="00DB3C34"/>
    <w:rsid w:val="00DB3F87"/>
    <w:rsid w:val="00DB4132"/>
    <w:rsid w:val="00DB4470"/>
    <w:rsid w:val="00DB4510"/>
    <w:rsid w:val="00DB462A"/>
    <w:rsid w:val="00DB468B"/>
    <w:rsid w:val="00DB4ABB"/>
    <w:rsid w:val="00DB4C4F"/>
    <w:rsid w:val="00DB4C65"/>
    <w:rsid w:val="00DB4DB7"/>
    <w:rsid w:val="00DB4EF6"/>
    <w:rsid w:val="00DB4F8D"/>
    <w:rsid w:val="00DB5100"/>
    <w:rsid w:val="00DB542A"/>
    <w:rsid w:val="00DB5787"/>
    <w:rsid w:val="00DB5A04"/>
    <w:rsid w:val="00DB637C"/>
    <w:rsid w:val="00DB6591"/>
    <w:rsid w:val="00DB65C8"/>
    <w:rsid w:val="00DB672F"/>
    <w:rsid w:val="00DB6A48"/>
    <w:rsid w:val="00DB6AA8"/>
    <w:rsid w:val="00DB6B83"/>
    <w:rsid w:val="00DB6DEC"/>
    <w:rsid w:val="00DB6E40"/>
    <w:rsid w:val="00DB6EAA"/>
    <w:rsid w:val="00DB6F5A"/>
    <w:rsid w:val="00DB6F89"/>
    <w:rsid w:val="00DB708C"/>
    <w:rsid w:val="00DB70F3"/>
    <w:rsid w:val="00DB7130"/>
    <w:rsid w:val="00DB7546"/>
    <w:rsid w:val="00DB75A7"/>
    <w:rsid w:val="00DB783E"/>
    <w:rsid w:val="00DB79C6"/>
    <w:rsid w:val="00DB7B33"/>
    <w:rsid w:val="00DB7D45"/>
    <w:rsid w:val="00DC002A"/>
    <w:rsid w:val="00DC008C"/>
    <w:rsid w:val="00DC0101"/>
    <w:rsid w:val="00DC01B0"/>
    <w:rsid w:val="00DC027C"/>
    <w:rsid w:val="00DC039C"/>
    <w:rsid w:val="00DC0496"/>
    <w:rsid w:val="00DC0979"/>
    <w:rsid w:val="00DC0B4C"/>
    <w:rsid w:val="00DC0C3D"/>
    <w:rsid w:val="00DC0C5A"/>
    <w:rsid w:val="00DC0C6C"/>
    <w:rsid w:val="00DC0DC4"/>
    <w:rsid w:val="00DC0E3B"/>
    <w:rsid w:val="00DC142B"/>
    <w:rsid w:val="00DC14C0"/>
    <w:rsid w:val="00DC159A"/>
    <w:rsid w:val="00DC15AC"/>
    <w:rsid w:val="00DC178D"/>
    <w:rsid w:val="00DC18A8"/>
    <w:rsid w:val="00DC1D44"/>
    <w:rsid w:val="00DC1E68"/>
    <w:rsid w:val="00DC216C"/>
    <w:rsid w:val="00DC2286"/>
    <w:rsid w:val="00DC22D9"/>
    <w:rsid w:val="00DC25EE"/>
    <w:rsid w:val="00DC27AD"/>
    <w:rsid w:val="00DC2A01"/>
    <w:rsid w:val="00DC2B59"/>
    <w:rsid w:val="00DC2D0B"/>
    <w:rsid w:val="00DC2D4A"/>
    <w:rsid w:val="00DC2DAA"/>
    <w:rsid w:val="00DC2DFF"/>
    <w:rsid w:val="00DC3014"/>
    <w:rsid w:val="00DC328C"/>
    <w:rsid w:val="00DC38CD"/>
    <w:rsid w:val="00DC3944"/>
    <w:rsid w:val="00DC3954"/>
    <w:rsid w:val="00DC39A5"/>
    <w:rsid w:val="00DC3A1A"/>
    <w:rsid w:val="00DC3B6B"/>
    <w:rsid w:val="00DC3BE7"/>
    <w:rsid w:val="00DC3DD0"/>
    <w:rsid w:val="00DC3DDA"/>
    <w:rsid w:val="00DC3E8F"/>
    <w:rsid w:val="00DC3F74"/>
    <w:rsid w:val="00DC4032"/>
    <w:rsid w:val="00DC429C"/>
    <w:rsid w:val="00DC4493"/>
    <w:rsid w:val="00DC4660"/>
    <w:rsid w:val="00DC4842"/>
    <w:rsid w:val="00DC48B7"/>
    <w:rsid w:val="00DC4947"/>
    <w:rsid w:val="00DC4973"/>
    <w:rsid w:val="00DC49C9"/>
    <w:rsid w:val="00DC5138"/>
    <w:rsid w:val="00DC51F6"/>
    <w:rsid w:val="00DC53A7"/>
    <w:rsid w:val="00DC5560"/>
    <w:rsid w:val="00DC5834"/>
    <w:rsid w:val="00DC58C2"/>
    <w:rsid w:val="00DC59A4"/>
    <w:rsid w:val="00DC59AB"/>
    <w:rsid w:val="00DC59EE"/>
    <w:rsid w:val="00DC5D4C"/>
    <w:rsid w:val="00DC5F14"/>
    <w:rsid w:val="00DC6104"/>
    <w:rsid w:val="00DC610A"/>
    <w:rsid w:val="00DC620C"/>
    <w:rsid w:val="00DC62D1"/>
    <w:rsid w:val="00DC6B45"/>
    <w:rsid w:val="00DC6D6C"/>
    <w:rsid w:val="00DC6F2E"/>
    <w:rsid w:val="00DC6FE3"/>
    <w:rsid w:val="00DC7053"/>
    <w:rsid w:val="00DC70BD"/>
    <w:rsid w:val="00DC7110"/>
    <w:rsid w:val="00DC720C"/>
    <w:rsid w:val="00DC74FF"/>
    <w:rsid w:val="00DC7750"/>
    <w:rsid w:val="00DC778D"/>
    <w:rsid w:val="00DC79B2"/>
    <w:rsid w:val="00DC7AD8"/>
    <w:rsid w:val="00DC7F5C"/>
    <w:rsid w:val="00DD031C"/>
    <w:rsid w:val="00DD0BA4"/>
    <w:rsid w:val="00DD0D9C"/>
    <w:rsid w:val="00DD0E7A"/>
    <w:rsid w:val="00DD11CB"/>
    <w:rsid w:val="00DD1415"/>
    <w:rsid w:val="00DD174F"/>
    <w:rsid w:val="00DD185E"/>
    <w:rsid w:val="00DD2070"/>
    <w:rsid w:val="00DD2110"/>
    <w:rsid w:val="00DD212E"/>
    <w:rsid w:val="00DD232E"/>
    <w:rsid w:val="00DD24AE"/>
    <w:rsid w:val="00DD252D"/>
    <w:rsid w:val="00DD25D3"/>
    <w:rsid w:val="00DD2612"/>
    <w:rsid w:val="00DD2A50"/>
    <w:rsid w:val="00DD2B3F"/>
    <w:rsid w:val="00DD2E60"/>
    <w:rsid w:val="00DD2EB2"/>
    <w:rsid w:val="00DD3182"/>
    <w:rsid w:val="00DD34DF"/>
    <w:rsid w:val="00DD3590"/>
    <w:rsid w:val="00DD3655"/>
    <w:rsid w:val="00DD38AE"/>
    <w:rsid w:val="00DD391C"/>
    <w:rsid w:val="00DD3B97"/>
    <w:rsid w:val="00DD3D20"/>
    <w:rsid w:val="00DD3E9E"/>
    <w:rsid w:val="00DD3F6B"/>
    <w:rsid w:val="00DD4057"/>
    <w:rsid w:val="00DD437A"/>
    <w:rsid w:val="00DD471E"/>
    <w:rsid w:val="00DD48A8"/>
    <w:rsid w:val="00DD48D5"/>
    <w:rsid w:val="00DD4998"/>
    <w:rsid w:val="00DD4D17"/>
    <w:rsid w:val="00DD514A"/>
    <w:rsid w:val="00DD522E"/>
    <w:rsid w:val="00DD5383"/>
    <w:rsid w:val="00DD53E8"/>
    <w:rsid w:val="00DD5596"/>
    <w:rsid w:val="00DD56B3"/>
    <w:rsid w:val="00DD5858"/>
    <w:rsid w:val="00DD5907"/>
    <w:rsid w:val="00DD5ADE"/>
    <w:rsid w:val="00DD5EEC"/>
    <w:rsid w:val="00DD602F"/>
    <w:rsid w:val="00DD6164"/>
    <w:rsid w:val="00DD616C"/>
    <w:rsid w:val="00DD6558"/>
    <w:rsid w:val="00DD68CE"/>
    <w:rsid w:val="00DD68FD"/>
    <w:rsid w:val="00DD6B00"/>
    <w:rsid w:val="00DD6E92"/>
    <w:rsid w:val="00DD6EFC"/>
    <w:rsid w:val="00DD6F7B"/>
    <w:rsid w:val="00DD6FDD"/>
    <w:rsid w:val="00DD712F"/>
    <w:rsid w:val="00DD79FD"/>
    <w:rsid w:val="00DD7A67"/>
    <w:rsid w:val="00DD7DA8"/>
    <w:rsid w:val="00DE008E"/>
    <w:rsid w:val="00DE03D1"/>
    <w:rsid w:val="00DE04F0"/>
    <w:rsid w:val="00DE050E"/>
    <w:rsid w:val="00DE0B1B"/>
    <w:rsid w:val="00DE0B37"/>
    <w:rsid w:val="00DE0C13"/>
    <w:rsid w:val="00DE0CAE"/>
    <w:rsid w:val="00DE12D7"/>
    <w:rsid w:val="00DE1473"/>
    <w:rsid w:val="00DE16B7"/>
    <w:rsid w:val="00DE192F"/>
    <w:rsid w:val="00DE196C"/>
    <w:rsid w:val="00DE1AFF"/>
    <w:rsid w:val="00DE1B6B"/>
    <w:rsid w:val="00DE1C51"/>
    <w:rsid w:val="00DE1F3E"/>
    <w:rsid w:val="00DE1FA8"/>
    <w:rsid w:val="00DE20F9"/>
    <w:rsid w:val="00DE22FA"/>
    <w:rsid w:val="00DE298A"/>
    <w:rsid w:val="00DE2B85"/>
    <w:rsid w:val="00DE2BB7"/>
    <w:rsid w:val="00DE2BE7"/>
    <w:rsid w:val="00DE2D10"/>
    <w:rsid w:val="00DE321A"/>
    <w:rsid w:val="00DE3417"/>
    <w:rsid w:val="00DE3677"/>
    <w:rsid w:val="00DE3A0B"/>
    <w:rsid w:val="00DE3C30"/>
    <w:rsid w:val="00DE3D7C"/>
    <w:rsid w:val="00DE3DCE"/>
    <w:rsid w:val="00DE3F07"/>
    <w:rsid w:val="00DE4206"/>
    <w:rsid w:val="00DE422A"/>
    <w:rsid w:val="00DE4401"/>
    <w:rsid w:val="00DE44DB"/>
    <w:rsid w:val="00DE4AB8"/>
    <w:rsid w:val="00DE4C07"/>
    <w:rsid w:val="00DE4E6F"/>
    <w:rsid w:val="00DE4EAE"/>
    <w:rsid w:val="00DE4EBE"/>
    <w:rsid w:val="00DE4F2C"/>
    <w:rsid w:val="00DE4FFC"/>
    <w:rsid w:val="00DE519F"/>
    <w:rsid w:val="00DE5679"/>
    <w:rsid w:val="00DE58AE"/>
    <w:rsid w:val="00DE5BFD"/>
    <w:rsid w:val="00DE5CAB"/>
    <w:rsid w:val="00DE5CC4"/>
    <w:rsid w:val="00DE5CD4"/>
    <w:rsid w:val="00DE5D2D"/>
    <w:rsid w:val="00DE5D85"/>
    <w:rsid w:val="00DE5EA8"/>
    <w:rsid w:val="00DE6213"/>
    <w:rsid w:val="00DE6220"/>
    <w:rsid w:val="00DE6558"/>
    <w:rsid w:val="00DE663B"/>
    <w:rsid w:val="00DE6961"/>
    <w:rsid w:val="00DE6D3E"/>
    <w:rsid w:val="00DE6F5B"/>
    <w:rsid w:val="00DE7436"/>
    <w:rsid w:val="00DE7529"/>
    <w:rsid w:val="00DE7601"/>
    <w:rsid w:val="00DE7C9B"/>
    <w:rsid w:val="00DE7EA4"/>
    <w:rsid w:val="00DF0053"/>
    <w:rsid w:val="00DF056F"/>
    <w:rsid w:val="00DF0780"/>
    <w:rsid w:val="00DF0809"/>
    <w:rsid w:val="00DF08BA"/>
    <w:rsid w:val="00DF0ADF"/>
    <w:rsid w:val="00DF0BD4"/>
    <w:rsid w:val="00DF0DEC"/>
    <w:rsid w:val="00DF1327"/>
    <w:rsid w:val="00DF1333"/>
    <w:rsid w:val="00DF1576"/>
    <w:rsid w:val="00DF1627"/>
    <w:rsid w:val="00DF18C5"/>
    <w:rsid w:val="00DF1929"/>
    <w:rsid w:val="00DF1A49"/>
    <w:rsid w:val="00DF1A8F"/>
    <w:rsid w:val="00DF1AFC"/>
    <w:rsid w:val="00DF1CCE"/>
    <w:rsid w:val="00DF1D00"/>
    <w:rsid w:val="00DF1EAD"/>
    <w:rsid w:val="00DF1F2E"/>
    <w:rsid w:val="00DF2025"/>
    <w:rsid w:val="00DF204C"/>
    <w:rsid w:val="00DF24DC"/>
    <w:rsid w:val="00DF2522"/>
    <w:rsid w:val="00DF26F5"/>
    <w:rsid w:val="00DF295D"/>
    <w:rsid w:val="00DF2AC3"/>
    <w:rsid w:val="00DF2D89"/>
    <w:rsid w:val="00DF2E21"/>
    <w:rsid w:val="00DF2F4E"/>
    <w:rsid w:val="00DF2F7A"/>
    <w:rsid w:val="00DF346F"/>
    <w:rsid w:val="00DF3547"/>
    <w:rsid w:val="00DF3D48"/>
    <w:rsid w:val="00DF40A1"/>
    <w:rsid w:val="00DF40B6"/>
    <w:rsid w:val="00DF4215"/>
    <w:rsid w:val="00DF42CB"/>
    <w:rsid w:val="00DF43FD"/>
    <w:rsid w:val="00DF4661"/>
    <w:rsid w:val="00DF466A"/>
    <w:rsid w:val="00DF471F"/>
    <w:rsid w:val="00DF4748"/>
    <w:rsid w:val="00DF4A89"/>
    <w:rsid w:val="00DF4CB4"/>
    <w:rsid w:val="00DF4DC5"/>
    <w:rsid w:val="00DF502B"/>
    <w:rsid w:val="00DF5394"/>
    <w:rsid w:val="00DF558F"/>
    <w:rsid w:val="00DF5983"/>
    <w:rsid w:val="00DF598A"/>
    <w:rsid w:val="00DF5A14"/>
    <w:rsid w:val="00DF5BC7"/>
    <w:rsid w:val="00DF5E98"/>
    <w:rsid w:val="00DF6091"/>
    <w:rsid w:val="00DF6330"/>
    <w:rsid w:val="00DF666C"/>
    <w:rsid w:val="00DF66FD"/>
    <w:rsid w:val="00DF67F0"/>
    <w:rsid w:val="00DF6A14"/>
    <w:rsid w:val="00DF6BB5"/>
    <w:rsid w:val="00DF6CF3"/>
    <w:rsid w:val="00DF6EE8"/>
    <w:rsid w:val="00DF715B"/>
    <w:rsid w:val="00DF722F"/>
    <w:rsid w:val="00DF724B"/>
    <w:rsid w:val="00DF740C"/>
    <w:rsid w:val="00DF7583"/>
    <w:rsid w:val="00DF770D"/>
    <w:rsid w:val="00DF7AB9"/>
    <w:rsid w:val="00DF7C83"/>
    <w:rsid w:val="00DF7F9A"/>
    <w:rsid w:val="00DF7FED"/>
    <w:rsid w:val="00E00272"/>
    <w:rsid w:val="00E003E2"/>
    <w:rsid w:val="00E00435"/>
    <w:rsid w:val="00E00C17"/>
    <w:rsid w:val="00E00C60"/>
    <w:rsid w:val="00E00F7C"/>
    <w:rsid w:val="00E013B8"/>
    <w:rsid w:val="00E01430"/>
    <w:rsid w:val="00E0183E"/>
    <w:rsid w:val="00E01A1A"/>
    <w:rsid w:val="00E01AB6"/>
    <w:rsid w:val="00E01AC7"/>
    <w:rsid w:val="00E01D97"/>
    <w:rsid w:val="00E01FBF"/>
    <w:rsid w:val="00E02012"/>
    <w:rsid w:val="00E0227F"/>
    <w:rsid w:val="00E02501"/>
    <w:rsid w:val="00E025F4"/>
    <w:rsid w:val="00E029AF"/>
    <w:rsid w:val="00E02AC8"/>
    <w:rsid w:val="00E02B02"/>
    <w:rsid w:val="00E02D4F"/>
    <w:rsid w:val="00E02D8A"/>
    <w:rsid w:val="00E02E39"/>
    <w:rsid w:val="00E02EAA"/>
    <w:rsid w:val="00E02EE3"/>
    <w:rsid w:val="00E02FEC"/>
    <w:rsid w:val="00E031B1"/>
    <w:rsid w:val="00E034C4"/>
    <w:rsid w:val="00E034FF"/>
    <w:rsid w:val="00E036BD"/>
    <w:rsid w:val="00E03821"/>
    <w:rsid w:val="00E03B00"/>
    <w:rsid w:val="00E03C3C"/>
    <w:rsid w:val="00E03CB7"/>
    <w:rsid w:val="00E03F19"/>
    <w:rsid w:val="00E03F2D"/>
    <w:rsid w:val="00E044EA"/>
    <w:rsid w:val="00E04681"/>
    <w:rsid w:val="00E04730"/>
    <w:rsid w:val="00E04869"/>
    <w:rsid w:val="00E04877"/>
    <w:rsid w:val="00E04C40"/>
    <w:rsid w:val="00E04C9E"/>
    <w:rsid w:val="00E04D7D"/>
    <w:rsid w:val="00E04E0C"/>
    <w:rsid w:val="00E04E97"/>
    <w:rsid w:val="00E050F5"/>
    <w:rsid w:val="00E050FD"/>
    <w:rsid w:val="00E05314"/>
    <w:rsid w:val="00E05413"/>
    <w:rsid w:val="00E05495"/>
    <w:rsid w:val="00E054F2"/>
    <w:rsid w:val="00E055CF"/>
    <w:rsid w:val="00E055D6"/>
    <w:rsid w:val="00E0568D"/>
    <w:rsid w:val="00E056EE"/>
    <w:rsid w:val="00E05899"/>
    <w:rsid w:val="00E05929"/>
    <w:rsid w:val="00E05AA4"/>
    <w:rsid w:val="00E05AB0"/>
    <w:rsid w:val="00E05B9A"/>
    <w:rsid w:val="00E05CB0"/>
    <w:rsid w:val="00E05CB6"/>
    <w:rsid w:val="00E05D4D"/>
    <w:rsid w:val="00E05F03"/>
    <w:rsid w:val="00E05FAA"/>
    <w:rsid w:val="00E05FB3"/>
    <w:rsid w:val="00E061FE"/>
    <w:rsid w:val="00E06393"/>
    <w:rsid w:val="00E063E8"/>
    <w:rsid w:val="00E0652F"/>
    <w:rsid w:val="00E06725"/>
    <w:rsid w:val="00E069B8"/>
    <w:rsid w:val="00E06A74"/>
    <w:rsid w:val="00E06AA7"/>
    <w:rsid w:val="00E06C0C"/>
    <w:rsid w:val="00E06EA1"/>
    <w:rsid w:val="00E07096"/>
    <w:rsid w:val="00E07285"/>
    <w:rsid w:val="00E07456"/>
    <w:rsid w:val="00E07601"/>
    <w:rsid w:val="00E07652"/>
    <w:rsid w:val="00E07715"/>
    <w:rsid w:val="00E07807"/>
    <w:rsid w:val="00E0783B"/>
    <w:rsid w:val="00E07944"/>
    <w:rsid w:val="00E07ABE"/>
    <w:rsid w:val="00E07B85"/>
    <w:rsid w:val="00E07C10"/>
    <w:rsid w:val="00E07E35"/>
    <w:rsid w:val="00E07ED4"/>
    <w:rsid w:val="00E07F82"/>
    <w:rsid w:val="00E07FEA"/>
    <w:rsid w:val="00E10265"/>
    <w:rsid w:val="00E104A1"/>
    <w:rsid w:val="00E1056D"/>
    <w:rsid w:val="00E10849"/>
    <w:rsid w:val="00E108CE"/>
    <w:rsid w:val="00E108ED"/>
    <w:rsid w:val="00E10AD1"/>
    <w:rsid w:val="00E111B0"/>
    <w:rsid w:val="00E11561"/>
    <w:rsid w:val="00E1191D"/>
    <w:rsid w:val="00E11A82"/>
    <w:rsid w:val="00E11F3F"/>
    <w:rsid w:val="00E122A3"/>
    <w:rsid w:val="00E12314"/>
    <w:rsid w:val="00E12323"/>
    <w:rsid w:val="00E12363"/>
    <w:rsid w:val="00E12652"/>
    <w:rsid w:val="00E12784"/>
    <w:rsid w:val="00E127D6"/>
    <w:rsid w:val="00E12A7D"/>
    <w:rsid w:val="00E12B75"/>
    <w:rsid w:val="00E12DD3"/>
    <w:rsid w:val="00E12DF7"/>
    <w:rsid w:val="00E12E29"/>
    <w:rsid w:val="00E1331B"/>
    <w:rsid w:val="00E136EC"/>
    <w:rsid w:val="00E13A8D"/>
    <w:rsid w:val="00E13AF2"/>
    <w:rsid w:val="00E13B23"/>
    <w:rsid w:val="00E13B48"/>
    <w:rsid w:val="00E13FF4"/>
    <w:rsid w:val="00E14355"/>
    <w:rsid w:val="00E143D2"/>
    <w:rsid w:val="00E146E4"/>
    <w:rsid w:val="00E1478C"/>
    <w:rsid w:val="00E147F7"/>
    <w:rsid w:val="00E14BF7"/>
    <w:rsid w:val="00E14EE4"/>
    <w:rsid w:val="00E15C0B"/>
    <w:rsid w:val="00E15F3B"/>
    <w:rsid w:val="00E1609D"/>
    <w:rsid w:val="00E1617F"/>
    <w:rsid w:val="00E162FD"/>
    <w:rsid w:val="00E163DA"/>
    <w:rsid w:val="00E16421"/>
    <w:rsid w:val="00E1655A"/>
    <w:rsid w:val="00E16638"/>
    <w:rsid w:val="00E1670A"/>
    <w:rsid w:val="00E168E2"/>
    <w:rsid w:val="00E1697D"/>
    <w:rsid w:val="00E16B67"/>
    <w:rsid w:val="00E17164"/>
    <w:rsid w:val="00E172D7"/>
    <w:rsid w:val="00E176FB"/>
    <w:rsid w:val="00E17989"/>
    <w:rsid w:val="00E179A6"/>
    <w:rsid w:val="00E17A37"/>
    <w:rsid w:val="00E17B2E"/>
    <w:rsid w:val="00E17D5F"/>
    <w:rsid w:val="00E17DE0"/>
    <w:rsid w:val="00E17E3A"/>
    <w:rsid w:val="00E17E4E"/>
    <w:rsid w:val="00E17EF7"/>
    <w:rsid w:val="00E17F38"/>
    <w:rsid w:val="00E20033"/>
    <w:rsid w:val="00E20178"/>
    <w:rsid w:val="00E2059B"/>
    <w:rsid w:val="00E20B24"/>
    <w:rsid w:val="00E20D65"/>
    <w:rsid w:val="00E20ED9"/>
    <w:rsid w:val="00E21153"/>
    <w:rsid w:val="00E21228"/>
    <w:rsid w:val="00E21298"/>
    <w:rsid w:val="00E214CA"/>
    <w:rsid w:val="00E21767"/>
    <w:rsid w:val="00E217BF"/>
    <w:rsid w:val="00E21986"/>
    <w:rsid w:val="00E21AA4"/>
    <w:rsid w:val="00E21C32"/>
    <w:rsid w:val="00E21CAB"/>
    <w:rsid w:val="00E21D88"/>
    <w:rsid w:val="00E21DC4"/>
    <w:rsid w:val="00E21F06"/>
    <w:rsid w:val="00E2208A"/>
    <w:rsid w:val="00E22174"/>
    <w:rsid w:val="00E22235"/>
    <w:rsid w:val="00E22407"/>
    <w:rsid w:val="00E22484"/>
    <w:rsid w:val="00E22A1F"/>
    <w:rsid w:val="00E22B31"/>
    <w:rsid w:val="00E22B91"/>
    <w:rsid w:val="00E22C4E"/>
    <w:rsid w:val="00E22C96"/>
    <w:rsid w:val="00E22EB4"/>
    <w:rsid w:val="00E23026"/>
    <w:rsid w:val="00E23332"/>
    <w:rsid w:val="00E234AE"/>
    <w:rsid w:val="00E2356D"/>
    <w:rsid w:val="00E235A0"/>
    <w:rsid w:val="00E236E6"/>
    <w:rsid w:val="00E2387D"/>
    <w:rsid w:val="00E23886"/>
    <w:rsid w:val="00E238B8"/>
    <w:rsid w:val="00E23DAF"/>
    <w:rsid w:val="00E23F9A"/>
    <w:rsid w:val="00E24024"/>
    <w:rsid w:val="00E24092"/>
    <w:rsid w:val="00E243F7"/>
    <w:rsid w:val="00E2446D"/>
    <w:rsid w:val="00E244C2"/>
    <w:rsid w:val="00E249F3"/>
    <w:rsid w:val="00E24B2B"/>
    <w:rsid w:val="00E24B7F"/>
    <w:rsid w:val="00E24D49"/>
    <w:rsid w:val="00E24D85"/>
    <w:rsid w:val="00E25549"/>
    <w:rsid w:val="00E255CF"/>
    <w:rsid w:val="00E256D0"/>
    <w:rsid w:val="00E257FB"/>
    <w:rsid w:val="00E25938"/>
    <w:rsid w:val="00E25B5D"/>
    <w:rsid w:val="00E25DA5"/>
    <w:rsid w:val="00E25E02"/>
    <w:rsid w:val="00E2601F"/>
    <w:rsid w:val="00E261B5"/>
    <w:rsid w:val="00E262F6"/>
    <w:rsid w:val="00E2675E"/>
    <w:rsid w:val="00E269B9"/>
    <w:rsid w:val="00E269D1"/>
    <w:rsid w:val="00E26C92"/>
    <w:rsid w:val="00E26DBE"/>
    <w:rsid w:val="00E2733C"/>
    <w:rsid w:val="00E274DD"/>
    <w:rsid w:val="00E275EB"/>
    <w:rsid w:val="00E27625"/>
    <w:rsid w:val="00E27951"/>
    <w:rsid w:val="00E27A47"/>
    <w:rsid w:val="00E27A55"/>
    <w:rsid w:val="00E27B71"/>
    <w:rsid w:val="00E27C68"/>
    <w:rsid w:val="00E27C81"/>
    <w:rsid w:val="00E27EA5"/>
    <w:rsid w:val="00E302CE"/>
    <w:rsid w:val="00E30425"/>
    <w:rsid w:val="00E3043D"/>
    <w:rsid w:val="00E305BB"/>
    <w:rsid w:val="00E309B3"/>
    <w:rsid w:val="00E30B36"/>
    <w:rsid w:val="00E30C03"/>
    <w:rsid w:val="00E30F31"/>
    <w:rsid w:val="00E31134"/>
    <w:rsid w:val="00E3141C"/>
    <w:rsid w:val="00E318A6"/>
    <w:rsid w:val="00E31B37"/>
    <w:rsid w:val="00E31DAC"/>
    <w:rsid w:val="00E31E57"/>
    <w:rsid w:val="00E323FC"/>
    <w:rsid w:val="00E32B90"/>
    <w:rsid w:val="00E32BF5"/>
    <w:rsid w:val="00E32C38"/>
    <w:rsid w:val="00E32D67"/>
    <w:rsid w:val="00E32DAB"/>
    <w:rsid w:val="00E33055"/>
    <w:rsid w:val="00E330C1"/>
    <w:rsid w:val="00E3310C"/>
    <w:rsid w:val="00E33156"/>
    <w:rsid w:val="00E33196"/>
    <w:rsid w:val="00E33239"/>
    <w:rsid w:val="00E33389"/>
    <w:rsid w:val="00E3345D"/>
    <w:rsid w:val="00E33996"/>
    <w:rsid w:val="00E339FC"/>
    <w:rsid w:val="00E33BF0"/>
    <w:rsid w:val="00E33FAE"/>
    <w:rsid w:val="00E34978"/>
    <w:rsid w:val="00E34A31"/>
    <w:rsid w:val="00E34C16"/>
    <w:rsid w:val="00E350F8"/>
    <w:rsid w:val="00E3524E"/>
    <w:rsid w:val="00E35464"/>
    <w:rsid w:val="00E354FE"/>
    <w:rsid w:val="00E3591F"/>
    <w:rsid w:val="00E35C43"/>
    <w:rsid w:val="00E35F0E"/>
    <w:rsid w:val="00E36840"/>
    <w:rsid w:val="00E3689E"/>
    <w:rsid w:val="00E36AC5"/>
    <w:rsid w:val="00E36C63"/>
    <w:rsid w:val="00E37146"/>
    <w:rsid w:val="00E37339"/>
    <w:rsid w:val="00E37490"/>
    <w:rsid w:val="00E3783A"/>
    <w:rsid w:val="00E37925"/>
    <w:rsid w:val="00E37A27"/>
    <w:rsid w:val="00E37DF8"/>
    <w:rsid w:val="00E37E8A"/>
    <w:rsid w:val="00E37FEC"/>
    <w:rsid w:val="00E405A1"/>
    <w:rsid w:val="00E4061F"/>
    <w:rsid w:val="00E40696"/>
    <w:rsid w:val="00E40703"/>
    <w:rsid w:val="00E40DD4"/>
    <w:rsid w:val="00E40E98"/>
    <w:rsid w:val="00E40FD1"/>
    <w:rsid w:val="00E410DA"/>
    <w:rsid w:val="00E41240"/>
    <w:rsid w:val="00E414F8"/>
    <w:rsid w:val="00E416A5"/>
    <w:rsid w:val="00E41918"/>
    <w:rsid w:val="00E41A4F"/>
    <w:rsid w:val="00E41E7D"/>
    <w:rsid w:val="00E420E3"/>
    <w:rsid w:val="00E42366"/>
    <w:rsid w:val="00E423AE"/>
    <w:rsid w:val="00E42695"/>
    <w:rsid w:val="00E42AB7"/>
    <w:rsid w:val="00E4302D"/>
    <w:rsid w:val="00E43103"/>
    <w:rsid w:val="00E4316C"/>
    <w:rsid w:val="00E43A6A"/>
    <w:rsid w:val="00E43AEE"/>
    <w:rsid w:val="00E43B94"/>
    <w:rsid w:val="00E43FA4"/>
    <w:rsid w:val="00E441AE"/>
    <w:rsid w:val="00E443F9"/>
    <w:rsid w:val="00E44488"/>
    <w:rsid w:val="00E44562"/>
    <w:rsid w:val="00E446C5"/>
    <w:rsid w:val="00E44A0E"/>
    <w:rsid w:val="00E44A14"/>
    <w:rsid w:val="00E44A7A"/>
    <w:rsid w:val="00E44B00"/>
    <w:rsid w:val="00E44E96"/>
    <w:rsid w:val="00E44ECC"/>
    <w:rsid w:val="00E45099"/>
    <w:rsid w:val="00E450F8"/>
    <w:rsid w:val="00E452BF"/>
    <w:rsid w:val="00E45419"/>
    <w:rsid w:val="00E4552D"/>
    <w:rsid w:val="00E45695"/>
    <w:rsid w:val="00E459F4"/>
    <w:rsid w:val="00E45A94"/>
    <w:rsid w:val="00E45B94"/>
    <w:rsid w:val="00E45C6A"/>
    <w:rsid w:val="00E45D2D"/>
    <w:rsid w:val="00E45F01"/>
    <w:rsid w:val="00E46470"/>
    <w:rsid w:val="00E4668D"/>
    <w:rsid w:val="00E4669C"/>
    <w:rsid w:val="00E46795"/>
    <w:rsid w:val="00E4729F"/>
    <w:rsid w:val="00E47309"/>
    <w:rsid w:val="00E4736F"/>
    <w:rsid w:val="00E476E5"/>
    <w:rsid w:val="00E47D2D"/>
    <w:rsid w:val="00E47F75"/>
    <w:rsid w:val="00E50016"/>
    <w:rsid w:val="00E5001D"/>
    <w:rsid w:val="00E5014E"/>
    <w:rsid w:val="00E5039C"/>
    <w:rsid w:val="00E5057D"/>
    <w:rsid w:val="00E50652"/>
    <w:rsid w:val="00E506CC"/>
    <w:rsid w:val="00E50914"/>
    <w:rsid w:val="00E50F1C"/>
    <w:rsid w:val="00E50F23"/>
    <w:rsid w:val="00E50FE2"/>
    <w:rsid w:val="00E5107A"/>
    <w:rsid w:val="00E51619"/>
    <w:rsid w:val="00E51662"/>
    <w:rsid w:val="00E519F2"/>
    <w:rsid w:val="00E51C0F"/>
    <w:rsid w:val="00E51C96"/>
    <w:rsid w:val="00E51DEB"/>
    <w:rsid w:val="00E51E17"/>
    <w:rsid w:val="00E51EF2"/>
    <w:rsid w:val="00E51F23"/>
    <w:rsid w:val="00E51F2B"/>
    <w:rsid w:val="00E521F1"/>
    <w:rsid w:val="00E52328"/>
    <w:rsid w:val="00E52332"/>
    <w:rsid w:val="00E52677"/>
    <w:rsid w:val="00E52BA2"/>
    <w:rsid w:val="00E52E6F"/>
    <w:rsid w:val="00E5325C"/>
    <w:rsid w:val="00E53549"/>
    <w:rsid w:val="00E5390E"/>
    <w:rsid w:val="00E5393E"/>
    <w:rsid w:val="00E539EE"/>
    <w:rsid w:val="00E53B99"/>
    <w:rsid w:val="00E53D90"/>
    <w:rsid w:val="00E53E28"/>
    <w:rsid w:val="00E53FB8"/>
    <w:rsid w:val="00E5404D"/>
    <w:rsid w:val="00E542C0"/>
    <w:rsid w:val="00E547A2"/>
    <w:rsid w:val="00E54884"/>
    <w:rsid w:val="00E54D16"/>
    <w:rsid w:val="00E54D4A"/>
    <w:rsid w:val="00E54F05"/>
    <w:rsid w:val="00E54FAE"/>
    <w:rsid w:val="00E54FD0"/>
    <w:rsid w:val="00E55567"/>
    <w:rsid w:val="00E55639"/>
    <w:rsid w:val="00E5577E"/>
    <w:rsid w:val="00E5598B"/>
    <w:rsid w:val="00E55AE0"/>
    <w:rsid w:val="00E55AF1"/>
    <w:rsid w:val="00E55C8F"/>
    <w:rsid w:val="00E55CE5"/>
    <w:rsid w:val="00E55D7D"/>
    <w:rsid w:val="00E55DB1"/>
    <w:rsid w:val="00E55DDE"/>
    <w:rsid w:val="00E55E56"/>
    <w:rsid w:val="00E562BB"/>
    <w:rsid w:val="00E562F1"/>
    <w:rsid w:val="00E5644B"/>
    <w:rsid w:val="00E564DA"/>
    <w:rsid w:val="00E56786"/>
    <w:rsid w:val="00E56D5E"/>
    <w:rsid w:val="00E570C8"/>
    <w:rsid w:val="00E5711B"/>
    <w:rsid w:val="00E57189"/>
    <w:rsid w:val="00E575B1"/>
    <w:rsid w:val="00E57CE5"/>
    <w:rsid w:val="00E57E88"/>
    <w:rsid w:val="00E57EB0"/>
    <w:rsid w:val="00E60159"/>
    <w:rsid w:val="00E60495"/>
    <w:rsid w:val="00E6065A"/>
    <w:rsid w:val="00E609B5"/>
    <w:rsid w:val="00E60A00"/>
    <w:rsid w:val="00E60A21"/>
    <w:rsid w:val="00E60A85"/>
    <w:rsid w:val="00E60BC6"/>
    <w:rsid w:val="00E60D2F"/>
    <w:rsid w:val="00E60EC5"/>
    <w:rsid w:val="00E60FC4"/>
    <w:rsid w:val="00E61181"/>
    <w:rsid w:val="00E618C8"/>
    <w:rsid w:val="00E619CE"/>
    <w:rsid w:val="00E61AF1"/>
    <w:rsid w:val="00E6206E"/>
    <w:rsid w:val="00E622BC"/>
    <w:rsid w:val="00E622FA"/>
    <w:rsid w:val="00E6258B"/>
    <w:rsid w:val="00E625F3"/>
    <w:rsid w:val="00E628DC"/>
    <w:rsid w:val="00E628F4"/>
    <w:rsid w:val="00E6293A"/>
    <w:rsid w:val="00E62C68"/>
    <w:rsid w:val="00E62D25"/>
    <w:rsid w:val="00E62DB2"/>
    <w:rsid w:val="00E62ED1"/>
    <w:rsid w:val="00E630A4"/>
    <w:rsid w:val="00E63272"/>
    <w:rsid w:val="00E632C1"/>
    <w:rsid w:val="00E63734"/>
    <w:rsid w:val="00E6390E"/>
    <w:rsid w:val="00E63BCF"/>
    <w:rsid w:val="00E63DBA"/>
    <w:rsid w:val="00E640D1"/>
    <w:rsid w:val="00E641AE"/>
    <w:rsid w:val="00E64251"/>
    <w:rsid w:val="00E64337"/>
    <w:rsid w:val="00E6435E"/>
    <w:rsid w:val="00E644DC"/>
    <w:rsid w:val="00E6452B"/>
    <w:rsid w:val="00E646BF"/>
    <w:rsid w:val="00E647C3"/>
    <w:rsid w:val="00E64A57"/>
    <w:rsid w:val="00E64C0E"/>
    <w:rsid w:val="00E64FD8"/>
    <w:rsid w:val="00E650C5"/>
    <w:rsid w:val="00E6513B"/>
    <w:rsid w:val="00E6549C"/>
    <w:rsid w:val="00E6558C"/>
    <w:rsid w:val="00E6568C"/>
    <w:rsid w:val="00E65764"/>
    <w:rsid w:val="00E65793"/>
    <w:rsid w:val="00E65A3A"/>
    <w:rsid w:val="00E65C7E"/>
    <w:rsid w:val="00E65E1E"/>
    <w:rsid w:val="00E65F64"/>
    <w:rsid w:val="00E65F6C"/>
    <w:rsid w:val="00E66215"/>
    <w:rsid w:val="00E66299"/>
    <w:rsid w:val="00E663BD"/>
    <w:rsid w:val="00E666E5"/>
    <w:rsid w:val="00E666FD"/>
    <w:rsid w:val="00E667BF"/>
    <w:rsid w:val="00E667DA"/>
    <w:rsid w:val="00E66875"/>
    <w:rsid w:val="00E6697A"/>
    <w:rsid w:val="00E669F0"/>
    <w:rsid w:val="00E66CC6"/>
    <w:rsid w:val="00E66D0F"/>
    <w:rsid w:val="00E675C1"/>
    <w:rsid w:val="00E67664"/>
    <w:rsid w:val="00E67683"/>
    <w:rsid w:val="00E67BBF"/>
    <w:rsid w:val="00E67DF5"/>
    <w:rsid w:val="00E67F57"/>
    <w:rsid w:val="00E701F8"/>
    <w:rsid w:val="00E70543"/>
    <w:rsid w:val="00E7094B"/>
    <w:rsid w:val="00E70E68"/>
    <w:rsid w:val="00E70EDD"/>
    <w:rsid w:val="00E71069"/>
    <w:rsid w:val="00E712A9"/>
    <w:rsid w:val="00E7186F"/>
    <w:rsid w:val="00E71994"/>
    <w:rsid w:val="00E71A36"/>
    <w:rsid w:val="00E71AAA"/>
    <w:rsid w:val="00E71B92"/>
    <w:rsid w:val="00E71CB2"/>
    <w:rsid w:val="00E71CE6"/>
    <w:rsid w:val="00E71D37"/>
    <w:rsid w:val="00E721BB"/>
    <w:rsid w:val="00E721FA"/>
    <w:rsid w:val="00E722EE"/>
    <w:rsid w:val="00E723E0"/>
    <w:rsid w:val="00E72682"/>
    <w:rsid w:val="00E72854"/>
    <w:rsid w:val="00E72C64"/>
    <w:rsid w:val="00E72FF5"/>
    <w:rsid w:val="00E731F2"/>
    <w:rsid w:val="00E736EA"/>
    <w:rsid w:val="00E737FC"/>
    <w:rsid w:val="00E73AC1"/>
    <w:rsid w:val="00E73EA4"/>
    <w:rsid w:val="00E73FFC"/>
    <w:rsid w:val="00E742B9"/>
    <w:rsid w:val="00E743F7"/>
    <w:rsid w:val="00E7444B"/>
    <w:rsid w:val="00E74779"/>
    <w:rsid w:val="00E7496F"/>
    <w:rsid w:val="00E749B7"/>
    <w:rsid w:val="00E74A05"/>
    <w:rsid w:val="00E74C67"/>
    <w:rsid w:val="00E74CE9"/>
    <w:rsid w:val="00E74DC2"/>
    <w:rsid w:val="00E74F8B"/>
    <w:rsid w:val="00E7514F"/>
    <w:rsid w:val="00E75165"/>
    <w:rsid w:val="00E75298"/>
    <w:rsid w:val="00E753DA"/>
    <w:rsid w:val="00E755B4"/>
    <w:rsid w:val="00E75695"/>
    <w:rsid w:val="00E75726"/>
    <w:rsid w:val="00E75773"/>
    <w:rsid w:val="00E7578A"/>
    <w:rsid w:val="00E75795"/>
    <w:rsid w:val="00E758B7"/>
    <w:rsid w:val="00E75A43"/>
    <w:rsid w:val="00E76186"/>
    <w:rsid w:val="00E7621D"/>
    <w:rsid w:val="00E762F4"/>
    <w:rsid w:val="00E7643E"/>
    <w:rsid w:val="00E7661C"/>
    <w:rsid w:val="00E769D8"/>
    <w:rsid w:val="00E76A0A"/>
    <w:rsid w:val="00E76B7D"/>
    <w:rsid w:val="00E76C1F"/>
    <w:rsid w:val="00E76E06"/>
    <w:rsid w:val="00E76F26"/>
    <w:rsid w:val="00E7722A"/>
    <w:rsid w:val="00E77419"/>
    <w:rsid w:val="00E774EC"/>
    <w:rsid w:val="00E7750F"/>
    <w:rsid w:val="00E77575"/>
    <w:rsid w:val="00E77616"/>
    <w:rsid w:val="00E777F6"/>
    <w:rsid w:val="00E7782F"/>
    <w:rsid w:val="00E77AD7"/>
    <w:rsid w:val="00E77D56"/>
    <w:rsid w:val="00E77F74"/>
    <w:rsid w:val="00E80171"/>
    <w:rsid w:val="00E804BD"/>
    <w:rsid w:val="00E8060E"/>
    <w:rsid w:val="00E8071A"/>
    <w:rsid w:val="00E80A0A"/>
    <w:rsid w:val="00E80C4A"/>
    <w:rsid w:val="00E80DE2"/>
    <w:rsid w:val="00E80ED9"/>
    <w:rsid w:val="00E80FA2"/>
    <w:rsid w:val="00E8101D"/>
    <w:rsid w:val="00E81104"/>
    <w:rsid w:val="00E811EB"/>
    <w:rsid w:val="00E813AA"/>
    <w:rsid w:val="00E81449"/>
    <w:rsid w:val="00E81599"/>
    <w:rsid w:val="00E815A0"/>
    <w:rsid w:val="00E818C3"/>
    <w:rsid w:val="00E8191F"/>
    <w:rsid w:val="00E819DE"/>
    <w:rsid w:val="00E819FF"/>
    <w:rsid w:val="00E81A4A"/>
    <w:rsid w:val="00E81C73"/>
    <w:rsid w:val="00E81E99"/>
    <w:rsid w:val="00E81FCD"/>
    <w:rsid w:val="00E8208C"/>
    <w:rsid w:val="00E821D4"/>
    <w:rsid w:val="00E822DE"/>
    <w:rsid w:val="00E82430"/>
    <w:rsid w:val="00E82818"/>
    <w:rsid w:val="00E829FE"/>
    <w:rsid w:val="00E82BF0"/>
    <w:rsid w:val="00E82CDE"/>
    <w:rsid w:val="00E83012"/>
    <w:rsid w:val="00E83178"/>
    <w:rsid w:val="00E834D5"/>
    <w:rsid w:val="00E8373C"/>
    <w:rsid w:val="00E83765"/>
    <w:rsid w:val="00E83D8A"/>
    <w:rsid w:val="00E83DA4"/>
    <w:rsid w:val="00E83FD8"/>
    <w:rsid w:val="00E83FFB"/>
    <w:rsid w:val="00E840DB"/>
    <w:rsid w:val="00E841ED"/>
    <w:rsid w:val="00E8421C"/>
    <w:rsid w:val="00E8442D"/>
    <w:rsid w:val="00E84493"/>
    <w:rsid w:val="00E8452B"/>
    <w:rsid w:val="00E845C9"/>
    <w:rsid w:val="00E84816"/>
    <w:rsid w:val="00E84980"/>
    <w:rsid w:val="00E84B49"/>
    <w:rsid w:val="00E84C56"/>
    <w:rsid w:val="00E84C57"/>
    <w:rsid w:val="00E84CEB"/>
    <w:rsid w:val="00E84D37"/>
    <w:rsid w:val="00E84FA3"/>
    <w:rsid w:val="00E851B2"/>
    <w:rsid w:val="00E85398"/>
    <w:rsid w:val="00E8541B"/>
    <w:rsid w:val="00E8548C"/>
    <w:rsid w:val="00E85700"/>
    <w:rsid w:val="00E8581B"/>
    <w:rsid w:val="00E85923"/>
    <w:rsid w:val="00E859AE"/>
    <w:rsid w:val="00E85AB7"/>
    <w:rsid w:val="00E85FF4"/>
    <w:rsid w:val="00E86098"/>
    <w:rsid w:val="00E8644A"/>
    <w:rsid w:val="00E86754"/>
    <w:rsid w:val="00E86B31"/>
    <w:rsid w:val="00E8707C"/>
    <w:rsid w:val="00E871D5"/>
    <w:rsid w:val="00E87786"/>
    <w:rsid w:val="00E877CC"/>
    <w:rsid w:val="00E877DE"/>
    <w:rsid w:val="00E87993"/>
    <w:rsid w:val="00E900D5"/>
    <w:rsid w:val="00E90979"/>
    <w:rsid w:val="00E90B66"/>
    <w:rsid w:val="00E90BDA"/>
    <w:rsid w:val="00E90D91"/>
    <w:rsid w:val="00E91543"/>
    <w:rsid w:val="00E9155B"/>
    <w:rsid w:val="00E91571"/>
    <w:rsid w:val="00E9179A"/>
    <w:rsid w:val="00E91A89"/>
    <w:rsid w:val="00E91EC0"/>
    <w:rsid w:val="00E9203F"/>
    <w:rsid w:val="00E922A4"/>
    <w:rsid w:val="00E92405"/>
    <w:rsid w:val="00E925AC"/>
    <w:rsid w:val="00E92627"/>
    <w:rsid w:val="00E92A8F"/>
    <w:rsid w:val="00E92CBB"/>
    <w:rsid w:val="00E92D9C"/>
    <w:rsid w:val="00E93002"/>
    <w:rsid w:val="00E93092"/>
    <w:rsid w:val="00E937A4"/>
    <w:rsid w:val="00E937BF"/>
    <w:rsid w:val="00E937D3"/>
    <w:rsid w:val="00E9393A"/>
    <w:rsid w:val="00E93E4B"/>
    <w:rsid w:val="00E94BC8"/>
    <w:rsid w:val="00E94D9D"/>
    <w:rsid w:val="00E94E00"/>
    <w:rsid w:val="00E94E0E"/>
    <w:rsid w:val="00E94F84"/>
    <w:rsid w:val="00E952F3"/>
    <w:rsid w:val="00E95495"/>
    <w:rsid w:val="00E954E1"/>
    <w:rsid w:val="00E9560C"/>
    <w:rsid w:val="00E95715"/>
    <w:rsid w:val="00E95B3C"/>
    <w:rsid w:val="00E95C05"/>
    <w:rsid w:val="00E95EAB"/>
    <w:rsid w:val="00E960DB"/>
    <w:rsid w:val="00E962C4"/>
    <w:rsid w:val="00E9653D"/>
    <w:rsid w:val="00E9667B"/>
    <w:rsid w:val="00E96682"/>
    <w:rsid w:val="00E9697C"/>
    <w:rsid w:val="00E969B0"/>
    <w:rsid w:val="00E96A82"/>
    <w:rsid w:val="00E96CD4"/>
    <w:rsid w:val="00E96F08"/>
    <w:rsid w:val="00E96F53"/>
    <w:rsid w:val="00E96FEB"/>
    <w:rsid w:val="00E97011"/>
    <w:rsid w:val="00E971C6"/>
    <w:rsid w:val="00E9762D"/>
    <w:rsid w:val="00E97DD9"/>
    <w:rsid w:val="00E97F34"/>
    <w:rsid w:val="00EA0054"/>
    <w:rsid w:val="00EA017A"/>
    <w:rsid w:val="00EA04F5"/>
    <w:rsid w:val="00EA0587"/>
    <w:rsid w:val="00EA09F5"/>
    <w:rsid w:val="00EA0A1F"/>
    <w:rsid w:val="00EA0B2B"/>
    <w:rsid w:val="00EA0EDF"/>
    <w:rsid w:val="00EA12D4"/>
    <w:rsid w:val="00EA1344"/>
    <w:rsid w:val="00EA1588"/>
    <w:rsid w:val="00EA18E2"/>
    <w:rsid w:val="00EA1AE7"/>
    <w:rsid w:val="00EA1B48"/>
    <w:rsid w:val="00EA1D85"/>
    <w:rsid w:val="00EA2388"/>
    <w:rsid w:val="00EA23A4"/>
    <w:rsid w:val="00EA23C9"/>
    <w:rsid w:val="00EA26D6"/>
    <w:rsid w:val="00EA28C3"/>
    <w:rsid w:val="00EA28F0"/>
    <w:rsid w:val="00EA2AA4"/>
    <w:rsid w:val="00EA2E94"/>
    <w:rsid w:val="00EA2F1D"/>
    <w:rsid w:val="00EA3085"/>
    <w:rsid w:val="00EA31F3"/>
    <w:rsid w:val="00EA36F4"/>
    <w:rsid w:val="00EA3759"/>
    <w:rsid w:val="00EA3C7F"/>
    <w:rsid w:val="00EA4070"/>
    <w:rsid w:val="00EA429D"/>
    <w:rsid w:val="00EA43B1"/>
    <w:rsid w:val="00EA43D3"/>
    <w:rsid w:val="00EA47A3"/>
    <w:rsid w:val="00EA4801"/>
    <w:rsid w:val="00EA48CF"/>
    <w:rsid w:val="00EA4A05"/>
    <w:rsid w:val="00EA4B73"/>
    <w:rsid w:val="00EA4C24"/>
    <w:rsid w:val="00EA5148"/>
    <w:rsid w:val="00EA52C7"/>
    <w:rsid w:val="00EA5513"/>
    <w:rsid w:val="00EA56AB"/>
    <w:rsid w:val="00EA588C"/>
    <w:rsid w:val="00EA5930"/>
    <w:rsid w:val="00EA59B4"/>
    <w:rsid w:val="00EA5B23"/>
    <w:rsid w:val="00EA5DAA"/>
    <w:rsid w:val="00EA5E3C"/>
    <w:rsid w:val="00EA5E61"/>
    <w:rsid w:val="00EA5E86"/>
    <w:rsid w:val="00EA6122"/>
    <w:rsid w:val="00EA62E4"/>
    <w:rsid w:val="00EA6549"/>
    <w:rsid w:val="00EA67BA"/>
    <w:rsid w:val="00EA6839"/>
    <w:rsid w:val="00EA6F57"/>
    <w:rsid w:val="00EA7201"/>
    <w:rsid w:val="00EA73FE"/>
    <w:rsid w:val="00EA7673"/>
    <w:rsid w:val="00EA790A"/>
    <w:rsid w:val="00EA7AAA"/>
    <w:rsid w:val="00EA7B49"/>
    <w:rsid w:val="00EA7C39"/>
    <w:rsid w:val="00EA7EED"/>
    <w:rsid w:val="00EB0197"/>
    <w:rsid w:val="00EB02AA"/>
    <w:rsid w:val="00EB09BF"/>
    <w:rsid w:val="00EB0C44"/>
    <w:rsid w:val="00EB0CC9"/>
    <w:rsid w:val="00EB105A"/>
    <w:rsid w:val="00EB1570"/>
    <w:rsid w:val="00EB1613"/>
    <w:rsid w:val="00EB1635"/>
    <w:rsid w:val="00EB1899"/>
    <w:rsid w:val="00EB1A85"/>
    <w:rsid w:val="00EB1C82"/>
    <w:rsid w:val="00EB1CA6"/>
    <w:rsid w:val="00EB20C4"/>
    <w:rsid w:val="00EB2AB5"/>
    <w:rsid w:val="00EB2E50"/>
    <w:rsid w:val="00EB30DF"/>
    <w:rsid w:val="00EB32A5"/>
    <w:rsid w:val="00EB37BC"/>
    <w:rsid w:val="00EB38F2"/>
    <w:rsid w:val="00EB3CC5"/>
    <w:rsid w:val="00EB3E4F"/>
    <w:rsid w:val="00EB3FAF"/>
    <w:rsid w:val="00EB4082"/>
    <w:rsid w:val="00EB4449"/>
    <w:rsid w:val="00EB45D6"/>
    <w:rsid w:val="00EB53F8"/>
    <w:rsid w:val="00EB542C"/>
    <w:rsid w:val="00EB5837"/>
    <w:rsid w:val="00EB58AA"/>
    <w:rsid w:val="00EB5A0A"/>
    <w:rsid w:val="00EB5A3C"/>
    <w:rsid w:val="00EB5DBA"/>
    <w:rsid w:val="00EB607D"/>
    <w:rsid w:val="00EB64CA"/>
    <w:rsid w:val="00EB6561"/>
    <w:rsid w:val="00EB6D1B"/>
    <w:rsid w:val="00EB6E73"/>
    <w:rsid w:val="00EB6FE9"/>
    <w:rsid w:val="00EB70B5"/>
    <w:rsid w:val="00EB724F"/>
    <w:rsid w:val="00EB7309"/>
    <w:rsid w:val="00EB7372"/>
    <w:rsid w:val="00EB7632"/>
    <w:rsid w:val="00EB7853"/>
    <w:rsid w:val="00EB796D"/>
    <w:rsid w:val="00EB7BDC"/>
    <w:rsid w:val="00EC0084"/>
    <w:rsid w:val="00EC0447"/>
    <w:rsid w:val="00EC0500"/>
    <w:rsid w:val="00EC0582"/>
    <w:rsid w:val="00EC06E7"/>
    <w:rsid w:val="00EC076C"/>
    <w:rsid w:val="00EC0890"/>
    <w:rsid w:val="00EC0DDE"/>
    <w:rsid w:val="00EC0DFF"/>
    <w:rsid w:val="00EC10A4"/>
    <w:rsid w:val="00EC1276"/>
    <w:rsid w:val="00EC12EB"/>
    <w:rsid w:val="00EC148A"/>
    <w:rsid w:val="00EC17CD"/>
    <w:rsid w:val="00EC17D9"/>
    <w:rsid w:val="00EC1A33"/>
    <w:rsid w:val="00EC1DE7"/>
    <w:rsid w:val="00EC2067"/>
    <w:rsid w:val="00EC2115"/>
    <w:rsid w:val="00EC22F6"/>
    <w:rsid w:val="00EC22FE"/>
    <w:rsid w:val="00EC2340"/>
    <w:rsid w:val="00EC2388"/>
    <w:rsid w:val="00EC2A9D"/>
    <w:rsid w:val="00EC2AE3"/>
    <w:rsid w:val="00EC2BE4"/>
    <w:rsid w:val="00EC2CFD"/>
    <w:rsid w:val="00EC2E45"/>
    <w:rsid w:val="00EC2FE4"/>
    <w:rsid w:val="00EC3363"/>
    <w:rsid w:val="00EC33C6"/>
    <w:rsid w:val="00EC360B"/>
    <w:rsid w:val="00EC3B26"/>
    <w:rsid w:val="00EC3E2E"/>
    <w:rsid w:val="00EC43A4"/>
    <w:rsid w:val="00EC4420"/>
    <w:rsid w:val="00EC479D"/>
    <w:rsid w:val="00EC48AF"/>
    <w:rsid w:val="00EC4BC3"/>
    <w:rsid w:val="00EC4E62"/>
    <w:rsid w:val="00EC5450"/>
    <w:rsid w:val="00EC5568"/>
    <w:rsid w:val="00EC5847"/>
    <w:rsid w:val="00EC59A6"/>
    <w:rsid w:val="00EC5C11"/>
    <w:rsid w:val="00EC5F8F"/>
    <w:rsid w:val="00EC62C4"/>
    <w:rsid w:val="00EC639F"/>
    <w:rsid w:val="00EC67F3"/>
    <w:rsid w:val="00EC68CD"/>
    <w:rsid w:val="00EC6A11"/>
    <w:rsid w:val="00EC6F87"/>
    <w:rsid w:val="00EC7612"/>
    <w:rsid w:val="00EC78AD"/>
    <w:rsid w:val="00EC79E9"/>
    <w:rsid w:val="00EC7A27"/>
    <w:rsid w:val="00EC7A9F"/>
    <w:rsid w:val="00EC7BBB"/>
    <w:rsid w:val="00EC7CF1"/>
    <w:rsid w:val="00EC7FD2"/>
    <w:rsid w:val="00ED01F8"/>
    <w:rsid w:val="00ED0336"/>
    <w:rsid w:val="00ED0484"/>
    <w:rsid w:val="00ED05FE"/>
    <w:rsid w:val="00ED0732"/>
    <w:rsid w:val="00ED084E"/>
    <w:rsid w:val="00ED0946"/>
    <w:rsid w:val="00ED0B20"/>
    <w:rsid w:val="00ED107A"/>
    <w:rsid w:val="00ED108A"/>
    <w:rsid w:val="00ED1103"/>
    <w:rsid w:val="00ED1173"/>
    <w:rsid w:val="00ED1215"/>
    <w:rsid w:val="00ED138F"/>
    <w:rsid w:val="00ED13ED"/>
    <w:rsid w:val="00ED1714"/>
    <w:rsid w:val="00ED1798"/>
    <w:rsid w:val="00ED187B"/>
    <w:rsid w:val="00ED197B"/>
    <w:rsid w:val="00ED19D0"/>
    <w:rsid w:val="00ED1A1D"/>
    <w:rsid w:val="00ED1E39"/>
    <w:rsid w:val="00ED2250"/>
    <w:rsid w:val="00ED2440"/>
    <w:rsid w:val="00ED24A2"/>
    <w:rsid w:val="00ED2725"/>
    <w:rsid w:val="00ED2746"/>
    <w:rsid w:val="00ED283F"/>
    <w:rsid w:val="00ED2BD9"/>
    <w:rsid w:val="00ED2C41"/>
    <w:rsid w:val="00ED2D7B"/>
    <w:rsid w:val="00ED30D8"/>
    <w:rsid w:val="00ED33A5"/>
    <w:rsid w:val="00ED3934"/>
    <w:rsid w:val="00ED3B44"/>
    <w:rsid w:val="00ED3BF9"/>
    <w:rsid w:val="00ED3F0B"/>
    <w:rsid w:val="00ED411F"/>
    <w:rsid w:val="00ED4192"/>
    <w:rsid w:val="00ED42C7"/>
    <w:rsid w:val="00ED43B6"/>
    <w:rsid w:val="00ED453B"/>
    <w:rsid w:val="00ED45B8"/>
    <w:rsid w:val="00ED479F"/>
    <w:rsid w:val="00ED492B"/>
    <w:rsid w:val="00ED4A6A"/>
    <w:rsid w:val="00ED4BFD"/>
    <w:rsid w:val="00ED4F0C"/>
    <w:rsid w:val="00ED4F82"/>
    <w:rsid w:val="00ED5049"/>
    <w:rsid w:val="00ED51AB"/>
    <w:rsid w:val="00ED5466"/>
    <w:rsid w:val="00ED5485"/>
    <w:rsid w:val="00ED5651"/>
    <w:rsid w:val="00ED5965"/>
    <w:rsid w:val="00ED5A98"/>
    <w:rsid w:val="00ED5CBC"/>
    <w:rsid w:val="00ED61D7"/>
    <w:rsid w:val="00ED64E1"/>
    <w:rsid w:val="00ED6617"/>
    <w:rsid w:val="00ED66AC"/>
    <w:rsid w:val="00ED66F7"/>
    <w:rsid w:val="00ED6785"/>
    <w:rsid w:val="00ED67BA"/>
    <w:rsid w:val="00ED6A59"/>
    <w:rsid w:val="00ED6E4C"/>
    <w:rsid w:val="00ED7095"/>
    <w:rsid w:val="00ED70CC"/>
    <w:rsid w:val="00ED7493"/>
    <w:rsid w:val="00ED7504"/>
    <w:rsid w:val="00ED7609"/>
    <w:rsid w:val="00ED7770"/>
    <w:rsid w:val="00ED7AB0"/>
    <w:rsid w:val="00ED7B10"/>
    <w:rsid w:val="00ED7BC1"/>
    <w:rsid w:val="00ED7CE1"/>
    <w:rsid w:val="00ED7D5F"/>
    <w:rsid w:val="00EE0311"/>
    <w:rsid w:val="00EE0354"/>
    <w:rsid w:val="00EE086A"/>
    <w:rsid w:val="00EE0CC7"/>
    <w:rsid w:val="00EE1453"/>
    <w:rsid w:val="00EE1666"/>
    <w:rsid w:val="00EE1A4A"/>
    <w:rsid w:val="00EE2057"/>
    <w:rsid w:val="00EE20E2"/>
    <w:rsid w:val="00EE2453"/>
    <w:rsid w:val="00EE2690"/>
    <w:rsid w:val="00EE26C9"/>
    <w:rsid w:val="00EE285A"/>
    <w:rsid w:val="00EE28C9"/>
    <w:rsid w:val="00EE2D07"/>
    <w:rsid w:val="00EE3411"/>
    <w:rsid w:val="00EE3446"/>
    <w:rsid w:val="00EE36DB"/>
    <w:rsid w:val="00EE3701"/>
    <w:rsid w:val="00EE371C"/>
    <w:rsid w:val="00EE3779"/>
    <w:rsid w:val="00EE3A72"/>
    <w:rsid w:val="00EE3AFE"/>
    <w:rsid w:val="00EE3D96"/>
    <w:rsid w:val="00EE3E69"/>
    <w:rsid w:val="00EE3E8A"/>
    <w:rsid w:val="00EE428A"/>
    <w:rsid w:val="00EE442F"/>
    <w:rsid w:val="00EE4501"/>
    <w:rsid w:val="00EE462C"/>
    <w:rsid w:val="00EE4B4D"/>
    <w:rsid w:val="00EE50AF"/>
    <w:rsid w:val="00EE5421"/>
    <w:rsid w:val="00EE559D"/>
    <w:rsid w:val="00EE5698"/>
    <w:rsid w:val="00EE56DB"/>
    <w:rsid w:val="00EE577C"/>
    <w:rsid w:val="00EE5935"/>
    <w:rsid w:val="00EE5948"/>
    <w:rsid w:val="00EE59B1"/>
    <w:rsid w:val="00EE5A17"/>
    <w:rsid w:val="00EE5A1D"/>
    <w:rsid w:val="00EE5AE9"/>
    <w:rsid w:val="00EE5B1C"/>
    <w:rsid w:val="00EE5BE0"/>
    <w:rsid w:val="00EE5C2F"/>
    <w:rsid w:val="00EE5FF0"/>
    <w:rsid w:val="00EE61E9"/>
    <w:rsid w:val="00EE632D"/>
    <w:rsid w:val="00EE6429"/>
    <w:rsid w:val="00EE66A3"/>
    <w:rsid w:val="00EE6866"/>
    <w:rsid w:val="00EE6910"/>
    <w:rsid w:val="00EE6B94"/>
    <w:rsid w:val="00EE6D9D"/>
    <w:rsid w:val="00EE6EBB"/>
    <w:rsid w:val="00EE6EBF"/>
    <w:rsid w:val="00EE6F54"/>
    <w:rsid w:val="00EE6F73"/>
    <w:rsid w:val="00EE7033"/>
    <w:rsid w:val="00EE72EB"/>
    <w:rsid w:val="00EE755D"/>
    <w:rsid w:val="00EE77EC"/>
    <w:rsid w:val="00EE780B"/>
    <w:rsid w:val="00EE7873"/>
    <w:rsid w:val="00EE78A0"/>
    <w:rsid w:val="00EE7B42"/>
    <w:rsid w:val="00EE7CEE"/>
    <w:rsid w:val="00EF000E"/>
    <w:rsid w:val="00EF0021"/>
    <w:rsid w:val="00EF0288"/>
    <w:rsid w:val="00EF036F"/>
    <w:rsid w:val="00EF0439"/>
    <w:rsid w:val="00EF048E"/>
    <w:rsid w:val="00EF073B"/>
    <w:rsid w:val="00EF0858"/>
    <w:rsid w:val="00EF0957"/>
    <w:rsid w:val="00EF0AC6"/>
    <w:rsid w:val="00EF0B02"/>
    <w:rsid w:val="00EF0BF0"/>
    <w:rsid w:val="00EF0DA0"/>
    <w:rsid w:val="00EF0DCD"/>
    <w:rsid w:val="00EF1007"/>
    <w:rsid w:val="00EF144A"/>
    <w:rsid w:val="00EF1527"/>
    <w:rsid w:val="00EF1646"/>
    <w:rsid w:val="00EF17B6"/>
    <w:rsid w:val="00EF1EC2"/>
    <w:rsid w:val="00EF2303"/>
    <w:rsid w:val="00EF25A4"/>
    <w:rsid w:val="00EF2B27"/>
    <w:rsid w:val="00EF2FCC"/>
    <w:rsid w:val="00EF3158"/>
    <w:rsid w:val="00EF31A2"/>
    <w:rsid w:val="00EF3395"/>
    <w:rsid w:val="00EF3450"/>
    <w:rsid w:val="00EF3704"/>
    <w:rsid w:val="00EF37D6"/>
    <w:rsid w:val="00EF3C92"/>
    <w:rsid w:val="00EF3ECD"/>
    <w:rsid w:val="00EF415F"/>
    <w:rsid w:val="00EF4374"/>
    <w:rsid w:val="00EF4419"/>
    <w:rsid w:val="00EF45BA"/>
    <w:rsid w:val="00EF47D8"/>
    <w:rsid w:val="00EF4958"/>
    <w:rsid w:val="00EF4982"/>
    <w:rsid w:val="00EF4A9A"/>
    <w:rsid w:val="00EF4B47"/>
    <w:rsid w:val="00EF4EF7"/>
    <w:rsid w:val="00EF5100"/>
    <w:rsid w:val="00EF5130"/>
    <w:rsid w:val="00EF514D"/>
    <w:rsid w:val="00EF52FA"/>
    <w:rsid w:val="00EF5382"/>
    <w:rsid w:val="00EF5422"/>
    <w:rsid w:val="00EF5836"/>
    <w:rsid w:val="00EF58D7"/>
    <w:rsid w:val="00EF5AB4"/>
    <w:rsid w:val="00EF5C08"/>
    <w:rsid w:val="00EF5C5B"/>
    <w:rsid w:val="00EF5CED"/>
    <w:rsid w:val="00EF651A"/>
    <w:rsid w:val="00EF65AA"/>
    <w:rsid w:val="00EF6702"/>
    <w:rsid w:val="00EF675D"/>
    <w:rsid w:val="00EF682E"/>
    <w:rsid w:val="00EF6876"/>
    <w:rsid w:val="00EF68E0"/>
    <w:rsid w:val="00EF6939"/>
    <w:rsid w:val="00EF6C19"/>
    <w:rsid w:val="00EF6D1D"/>
    <w:rsid w:val="00EF6D2B"/>
    <w:rsid w:val="00EF6E28"/>
    <w:rsid w:val="00EF6EA4"/>
    <w:rsid w:val="00EF6EC3"/>
    <w:rsid w:val="00EF6ED7"/>
    <w:rsid w:val="00EF6F5B"/>
    <w:rsid w:val="00EF6FE5"/>
    <w:rsid w:val="00EF72CA"/>
    <w:rsid w:val="00EF7441"/>
    <w:rsid w:val="00EF7B16"/>
    <w:rsid w:val="00EF7B80"/>
    <w:rsid w:val="00EF7C5D"/>
    <w:rsid w:val="00EF7EA7"/>
    <w:rsid w:val="00EF7EF9"/>
    <w:rsid w:val="00F0018B"/>
    <w:rsid w:val="00F002B3"/>
    <w:rsid w:val="00F0072D"/>
    <w:rsid w:val="00F007E8"/>
    <w:rsid w:val="00F008D8"/>
    <w:rsid w:val="00F00A1E"/>
    <w:rsid w:val="00F00CAC"/>
    <w:rsid w:val="00F00D81"/>
    <w:rsid w:val="00F01148"/>
    <w:rsid w:val="00F01197"/>
    <w:rsid w:val="00F01290"/>
    <w:rsid w:val="00F018B5"/>
    <w:rsid w:val="00F01931"/>
    <w:rsid w:val="00F01C29"/>
    <w:rsid w:val="00F01E26"/>
    <w:rsid w:val="00F01F62"/>
    <w:rsid w:val="00F02210"/>
    <w:rsid w:val="00F02220"/>
    <w:rsid w:val="00F02274"/>
    <w:rsid w:val="00F0236E"/>
    <w:rsid w:val="00F02A11"/>
    <w:rsid w:val="00F02B53"/>
    <w:rsid w:val="00F02BBF"/>
    <w:rsid w:val="00F02CF8"/>
    <w:rsid w:val="00F02DF6"/>
    <w:rsid w:val="00F02F0C"/>
    <w:rsid w:val="00F03256"/>
    <w:rsid w:val="00F03449"/>
    <w:rsid w:val="00F0359A"/>
    <w:rsid w:val="00F035A8"/>
    <w:rsid w:val="00F035CE"/>
    <w:rsid w:val="00F037C5"/>
    <w:rsid w:val="00F03808"/>
    <w:rsid w:val="00F039D5"/>
    <w:rsid w:val="00F03D99"/>
    <w:rsid w:val="00F03F89"/>
    <w:rsid w:val="00F046D4"/>
    <w:rsid w:val="00F047DB"/>
    <w:rsid w:val="00F0483E"/>
    <w:rsid w:val="00F04888"/>
    <w:rsid w:val="00F048AC"/>
    <w:rsid w:val="00F0507F"/>
    <w:rsid w:val="00F051D6"/>
    <w:rsid w:val="00F0539B"/>
    <w:rsid w:val="00F0545A"/>
    <w:rsid w:val="00F0587E"/>
    <w:rsid w:val="00F05954"/>
    <w:rsid w:val="00F05B08"/>
    <w:rsid w:val="00F05CD5"/>
    <w:rsid w:val="00F05D1F"/>
    <w:rsid w:val="00F05E32"/>
    <w:rsid w:val="00F06011"/>
    <w:rsid w:val="00F061FF"/>
    <w:rsid w:val="00F06237"/>
    <w:rsid w:val="00F06779"/>
    <w:rsid w:val="00F06882"/>
    <w:rsid w:val="00F06915"/>
    <w:rsid w:val="00F06AD6"/>
    <w:rsid w:val="00F06CD5"/>
    <w:rsid w:val="00F06ED9"/>
    <w:rsid w:val="00F0711F"/>
    <w:rsid w:val="00F07708"/>
    <w:rsid w:val="00F077B7"/>
    <w:rsid w:val="00F07D4C"/>
    <w:rsid w:val="00F1020D"/>
    <w:rsid w:val="00F10272"/>
    <w:rsid w:val="00F102C2"/>
    <w:rsid w:val="00F106BF"/>
    <w:rsid w:val="00F107AD"/>
    <w:rsid w:val="00F107C0"/>
    <w:rsid w:val="00F10863"/>
    <w:rsid w:val="00F10AB5"/>
    <w:rsid w:val="00F10C16"/>
    <w:rsid w:val="00F10C69"/>
    <w:rsid w:val="00F10CE5"/>
    <w:rsid w:val="00F10EAB"/>
    <w:rsid w:val="00F11051"/>
    <w:rsid w:val="00F11066"/>
    <w:rsid w:val="00F1157D"/>
    <w:rsid w:val="00F1182D"/>
    <w:rsid w:val="00F118B3"/>
    <w:rsid w:val="00F1196D"/>
    <w:rsid w:val="00F119F7"/>
    <w:rsid w:val="00F11C46"/>
    <w:rsid w:val="00F11CF7"/>
    <w:rsid w:val="00F1201D"/>
    <w:rsid w:val="00F1205D"/>
    <w:rsid w:val="00F123CA"/>
    <w:rsid w:val="00F12550"/>
    <w:rsid w:val="00F125F2"/>
    <w:rsid w:val="00F127B9"/>
    <w:rsid w:val="00F1280C"/>
    <w:rsid w:val="00F128B5"/>
    <w:rsid w:val="00F12AE7"/>
    <w:rsid w:val="00F12DC3"/>
    <w:rsid w:val="00F1305C"/>
    <w:rsid w:val="00F130C9"/>
    <w:rsid w:val="00F13315"/>
    <w:rsid w:val="00F134AB"/>
    <w:rsid w:val="00F134EC"/>
    <w:rsid w:val="00F13850"/>
    <w:rsid w:val="00F1390A"/>
    <w:rsid w:val="00F1398B"/>
    <w:rsid w:val="00F13BB9"/>
    <w:rsid w:val="00F13F19"/>
    <w:rsid w:val="00F13F22"/>
    <w:rsid w:val="00F1408A"/>
    <w:rsid w:val="00F14229"/>
    <w:rsid w:val="00F14741"/>
    <w:rsid w:val="00F147C0"/>
    <w:rsid w:val="00F14A42"/>
    <w:rsid w:val="00F14B03"/>
    <w:rsid w:val="00F14B4A"/>
    <w:rsid w:val="00F14CFA"/>
    <w:rsid w:val="00F14D93"/>
    <w:rsid w:val="00F14E6B"/>
    <w:rsid w:val="00F152F7"/>
    <w:rsid w:val="00F1547E"/>
    <w:rsid w:val="00F15775"/>
    <w:rsid w:val="00F15CDD"/>
    <w:rsid w:val="00F15CFF"/>
    <w:rsid w:val="00F15D6F"/>
    <w:rsid w:val="00F15F8C"/>
    <w:rsid w:val="00F16304"/>
    <w:rsid w:val="00F16468"/>
    <w:rsid w:val="00F165E0"/>
    <w:rsid w:val="00F16E95"/>
    <w:rsid w:val="00F16F0A"/>
    <w:rsid w:val="00F17009"/>
    <w:rsid w:val="00F17207"/>
    <w:rsid w:val="00F172C0"/>
    <w:rsid w:val="00F17308"/>
    <w:rsid w:val="00F173D8"/>
    <w:rsid w:val="00F177BF"/>
    <w:rsid w:val="00F177C1"/>
    <w:rsid w:val="00F17998"/>
    <w:rsid w:val="00F17A1D"/>
    <w:rsid w:val="00F17BE6"/>
    <w:rsid w:val="00F17CB5"/>
    <w:rsid w:val="00F17FDC"/>
    <w:rsid w:val="00F203A1"/>
    <w:rsid w:val="00F203CC"/>
    <w:rsid w:val="00F2040D"/>
    <w:rsid w:val="00F20703"/>
    <w:rsid w:val="00F2078B"/>
    <w:rsid w:val="00F209B1"/>
    <w:rsid w:val="00F20A2B"/>
    <w:rsid w:val="00F20C2A"/>
    <w:rsid w:val="00F20E9F"/>
    <w:rsid w:val="00F21813"/>
    <w:rsid w:val="00F21821"/>
    <w:rsid w:val="00F21ABE"/>
    <w:rsid w:val="00F21C8F"/>
    <w:rsid w:val="00F21E1C"/>
    <w:rsid w:val="00F21F49"/>
    <w:rsid w:val="00F220FB"/>
    <w:rsid w:val="00F2229D"/>
    <w:rsid w:val="00F2230D"/>
    <w:rsid w:val="00F22333"/>
    <w:rsid w:val="00F2272C"/>
    <w:rsid w:val="00F22958"/>
    <w:rsid w:val="00F22C69"/>
    <w:rsid w:val="00F22D55"/>
    <w:rsid w:val="00F22D93"/>
    <w:rsid w:val="00F22D9E"/>
    <w:rsid w:val="00F22F63"/>
    <w:rsid w:val="00F22FC7"/>
    <w:rsid w:val="00F2386B"/>
    <w:rsid w:val="00F23A6B"/>
    <w:rsid w:val="00F23A77"/>
    <w:rsid w:val="00F23AEA"/>
    <w:rsid w:val="00F23B0D"/>
    <w:rsid w:val="00F23D05"/>
    <w:rsid w:val="00F23DFA"/>
    <w:rsid w:val="00F23E9D"/>
    <w:rsid w:val="00F24916"/>
    <w:rsid w:val="00F24B70"/>
    <w:rsid w:val="00F24DB0"/>
    <w:rsid w:val="00F2542B"/>
    <w:rsid w:val="00F25650"/>
    <w:rsid w:val="00F257C8"/>
    <w:rsid w:val="00F25CA0"/>
    <w:rsid w:val="00F25E5B"/>
    <w:rsid w:val="00F25FCD"/>
    <w:rsid w:val="00F260CA"/>
    <w:rsid w:val="00F265D8"/>
    <w:rsid w:val="00F2681F"/>
    <w:rsid w:val="00F26B72"/>
    <w:rsid w:val="00F26BB7"/>
    <w:rsid w:val="00F27098"/>
    <w:rsid w:val="00F274F6"/>
    <w:rsid w:val="00F275FB"/>
    <w:rsid w:val="00F27756"/>
    <w:rsid w:val="00F27813"/>
    <w:rsid w:val="00F27B26"/>
    <w:rsid w:val="00F27DAB"/>
    <w:rsid w:val="00F27F83"/>
    <w:rsid w:val="00F27F87"/>
    <w:rsid w:val="00F30225"/>
    <w:rsid w:val="00F30328"/>
    <w:rsid w:val="00F3051B"/>
    <w:rsid w:val="00F3080E"/>
    <w:rsid w:val="00F308EE"/>
    <w:rsid w:val="00F30B8E"/>
    <w:rsid w:val="00F30BAE"/>
    <w:rsid w:val="00F30BF6"/>
    <w:rsid w:val="00F30D3A"/>
    <w:rsid w:val="00F30D77"/>
    <w:rsid w:val="00F30D8E"/>
    <w:rsid w:val="00F30DD6"/>
    <w:rsid w:val="00F31094"/>
    <w:rsid w:val="00F3109E"/>
    <w:rsid w:val="00F311A7"/>
    <w:rsid w:val="00F311E3"/>
    <w:rsid w:val="00F31202"/>
    <w:rsid w:val="00F313EF"/>
    <w:rsid w:val="00F315EF"/>
    <w:rsid w:val="00F3166C"/>
    <w:rsid w:val="00F31932"/>
    <w:rsid w:val="00F31B5F"/>
    <w:rsid w:val="00F31C2B"/>
    <w:rsid w:val="00F31CC2"/>
    <w:rsid w:val="00F31EED"/>
    <w:rsid w:val="00F3213D"/>
    <w:rsid w:val="00F3237C"/>
    <w:rsid w:val="00F32E42"/>
    <w:rsid w:val="00F33066"/>
    <w:rsid w:val="00F330EE"/>
    <w:rsid w:val="00F3312F"/>
    <w:rsid w:val="00F33150"/>
    <w:rsid w:val="00F332E3"/>
    <w:rsid w:val="00F334CF"/>
    <w:rsid w:val="00F336AF"/>
    <w:rsid w:val="00F336B6"/>
    <w:rsid w:val="00F336CC"/>
    <w:rsid w:val="00F336DB"/>
    <w:rsid w:val="00F339D4"/>
    <w:rsid w:val="00F339FB"/>
    <w:rsid w:val="00F33C12"/>
    <w:rsid w:val="00F33EA4"/>
    <w:rsid w:val="00F33F12"/>
    <w:rsid w:val="00F34047"/>
    <w:rsid w:val="00F34331"/>
    <w:rsid w:val="00F3442E"/>
    <w:rsid w:val="00F34588"/>
    <w:rsid w:val="00F34637"/>
    <w:rsid w:val="00F3492C"/>
    <w:rsid w:val="00F34A8D"/>
    <w:rsid w:val="00F352DC"/>
    <w:rsid w:val="00F35573"/>
    <w:rsid w:val="00F3581C"/>
    <w:rsid w:val="00F35879"/>
    <w:rsid w:val="00F35B2E"/>
    <w:rsid w:val="00F35BE5"/>
    <w:rsid w:val="00F35D9E"/>
    <w:rsid w:val="00F35FB4"/>
    <w:rsid w:val="00F3615C"/>
    <w:rsid w:val="00F36523"/>
    <w:rsid w:val="00F365B3"/>
    <w:rsid w:val="00F365EC"/>
    <w:rsid w:val="00F36746"/>
    <w:rsid w:val="00F36750"/>
    <w:rsid w:val="00F367C4"/>
    <w:rsid w:val="00F36947"/>
    <w:rsid w:val="00F36AA9"/>
    <w:rsid w:val="00F36AB9"/>
    <w:rsid w:val="00F36B93"/>
    <w:rsid w:val="00F36C35"/>
    <w:rsid w:val="00F36C40"/>
    <w:rsid w:val="00F36E17"/>
    <w:rsid w:val="00F37013"/>
    <w:rsid w:val="00F3715E"/>
    <w:rsid w:val="00F37279"/>
    <w:rsid w:val="00F3761B"/>
    <w:rsid w:val="00F3765C"/>
    <w:rsid w:val="00F37977"/>
    <w:rsid w:val="00F37B67"/>
    <w:rsid w:val="00F400F7"/>
    <w:rsid w:val="00F403B8"/>
    <w:rsid w:val="00F404A1"/>
    <w:rsid w:val="00F405AB"/>
    <w:rsid w:val="00F40927"/>
    <w:rsid w:val="00F40AA8"/>
    <w:rsid w:val="00F40D2A"/>
    <w:rsid w:val="00F40DBD"/>
    <w:rsid w:val="00F40F84"/>
    <w:rsid w:val="00F413CC"/>
    <w:rsid w:val="00F413F5"/>
    <w:rsid w:val="00F41711"/>
    <w:rsid w:val="00F419C3"/>
    <w:rsid w:val="00F41A76"/>
    <w:rsid w:val="00F41C77"/>
    <w:rsid w:val="00F41C7F"/>
    <w:rsid w:val="00F41CF5"/>
    <w:rsid w:val="00F41D05"/>
    <w:rsid w:val="00F41D7C"/>
    <w:rsid w:val="00F41EB8"/>
    <w:rsid w:val="00F4203D"/>
    <w:rsid w:val="00F4227F"/>
    <w:rsid w:val="00F42481"/>
    <w:rsid w:val="00F4255F"/>
    <w:rsid w:val="00F425A8"/>
    <w:rsid w:val="00F4275C"/>
    <w:rsid w:val="00F4275E"/>
    <w:rsid w:val="00F4279E"/>
    <w:rsid w:val="00F42D2B"/>
    <w:rsid w:val="00F42DF1"/>
    <w:rsid w:val="00F43007"/>
    <w:rsid w:val="00F43043"/>
    <w:rsid w:val="00F4329F"/>
    <w:rsid w:val="00F43321"/>
    <w:rsid w:val="00F4333E"/>
    <w:rsid w:val="00F434EB"/>
    <w:rsid w:val="00F43520"/>
    <w:rsid w:val="00F43793"/>
    <w:rsid w:val="00F43932"/>
    <w:rsid w:val="00F43C3C"/>
    <w:rsid w:val="00F44315"/>
    <w:rsid w:val="00F443A9"/>
    <w:rsid w:val="00F4475C"/>
    <w:rsid w:val="00F44781"/>
    <w:rsid w:val="00F4484D"/>
    <w:rsid w:val="00F44BE3"/>
    <w:rsid w:val="00F44CA5"/>
    <w:rsid w:val="00F45028"/>
    <w:rsid w:val="00F456D7"/>
    <w:rsid w:val="00F4570C"/>
    <w:rsid w:val="00F45745"/>
    <w:rsid w:val="00F45DCD"/>
    <w:rsid w:val="00F46876"/>
    <w:rsid w:val="00F46977"/>
    <w:rsid w:val="00F469F9"/>
    <w:rsid w:val="00F46DD4"/>
    <w:rsid w:val="00F4705F"/>
    <w:rsid w:val="00F472DD"/>
    <w:rsid w:val="00F472E3"/>
    <w:rsid w:val="00F474B7"/>
    <w:rsid w:val="00F47600"/>
    <w:rsid w:val="00F476E8"/>
    <w:rsid w:val="00F4774B"/>
    <w:rsid w:val="00F479A0"/>
    <w:rsid w:val="00F47DF5"/>
    <w:rsid w:val="00F50055"/>
    <w:rsid w:val="00F500B1"/>
    <w:rsid w:val="00F5046B"/>
    <w:rsid w:val="00F50674"/>
    <w:rsid w:val="00F5077A"/>
    <w:rsid w:val="00F50825"/>
    <w:rsid w:val="00F50B36"/>
    <w:rsid w:val="00F50CE7"/>
    <w:rsid w:val="00F51212"/>
    <w:rsid w:val="00F51753"/>
    <w:rsid w:val="00F51760"/>
    <w:rsid w:val="00F517F7"/>
    <w:rsid w:val="00F519AB"/>
    <w:rsid w:val="00F51C9C"/>
    <w:rsid w:val="00F51D9A"/>
    <w:rsid w:val="00F51F26"/>
    <w:rsid w:val="00F5201F"/>
    <w:rsid w:val="00F5214F"/>
    <w:rsid w:val="00F523BF"/>
    <w:rsid w:val="00F52709"/>
    <w:rsid w:val="00F52BC9"/>
    <w:rsid w:val="00F52DA4"/>
    <w:rsid w:val="00F52EC0"/>
    <w:rsid w:val="00F530DB"/>
    <w:rsid w:val="00F5310F"/>
    <w:rsid w:val="00F53201"/>
    <w:rsid w:val="00F53549"/>
    <w:rsid w:val="00F5363C"/>
    <w:rsid w:val="00F5365C"/>
    <w:rsid w:val="00F5369B"/>
    <w:rsid w:val="00F53AFE"/>
    <w:rsid w:val="00F53B51"/>
    <w:rsid w:val="00F53D2F"/>
    <w:rsid w:val="00F53D5E"/>
    <w:rsid w:val="00F53F77"/>
    <w:rsid w:val="00F5419B"/>
    <w:rsid w:val="00F542AA"/>
    <w:rsid w:val="00F5452A"/>
    <w:rsid w:val="00F545EE"/>
    <w:rsid w:val="00F545FE"/>
    <w:rsid w:val="00F54973"/>
    <w:rsid w:val="00F5500A"/>
    <w:rsid w:val="00F550B6"/>
    <w:rsid w:val="00F55101"/>
    <w:rsid w:val="00F5515B"/>
    <w:rsid w:val="00F557A8"/>
    <w:rsid w:val="00F55AB1"/>
    <w:rsid w:val="00F55B1A"/>
    <w:rsid w:val="00F55C63"/>
    <w:rsid w:val="00F55F2C"/>
    <w:rsid w:val="00F55F5B"/>
    <w:rsid w:val="00F55F99"/>
    <w:rsid w:val="00F564CE"/>
    <w:rsid w:val="00F566CB"/>
    <w:rsid w:val="00F56896"/>
    <w:rsid w:val="00F56AA0"/>
    <w:rsid w:val="00F56BDA"/>
    <w:rsid w:val="00F56CC9"/>
    <w:rsid w:val="00F56DA4"/>
    <w:rsid w:val="00F56E0C"/>
    <w:rsid w:val="00F57027"/>
    <w:rsid w:val="00F57102"/>
    <w:rsid w:val="00F571B5"/>
    <w:rsid w:val="00F57513"/>
    <w:rsid w:val="00F5751F"/>
    <w:rsid w:val="00F57665"/>
    <w:rsid w:val="00F576AA"/>
    <w:rsid w:val="00F5776A"/>
    <w:rsid w:val="00F578B0"/>
    <w:rsid w:val="00F578E5"/>
    <w:rsid w:val="00F57D66"/>
    <w:rsid w:val="00F6027E"/>
    <w:rsid w:val="00F602A9"/>
    <w:rsid w:val="00F60424"/>
    <w:rsid w:val="00F604C4"/>
    <w:rsid w:val="00F60595"/>
    <w:rsid w:val="00F60697"/>
    <w:rsid w:val="00F60764"/>
    <w:rsid w:val="00F609E2"/>
    <w:rsid w:val="00F60ACF"/>
    <w:rsid w:val="00F60EC5"/>
    <w:rsid w:val="00F6104D"/>
    <w:rsid w:val="00F61229"/>
    <w:rsid w:val="00F6124B"/>
    <w:rsid w:val="00F612B7"/>
    <w:rsid w:val="00F61317"/>
    <w:rsid w:val="00F619CB"/>
    <w:rsid w:val="00F619E8"/>
    <w:rsid w:val="00F61B03"/>
    <w:rsid w:val="00F61CD5"/>
    <w:rsid w:val="00F62076"/>
    <w:rsid w:val="00F6209B"/>
    <w:rsid w:val="00F62182"/>
    <w:rsid w:val="00F622C9"/>
    <w:rsid w:val="00F62449"/>
    <w:rsid w:val="00F62550"/>
    <w:rsid w:val="00F62790"/>
    <w:rsid w:val="00F62B80"/>
    <w:rsid w:val="00F62CC6"/>
    <w:rsid w:val="00F62DDB"/>
    <w:rsid w:val="00F630C7"/>
    <w:rsid w:val="00F63AE8"/>
    <w:rsid w:val="00F641A8"/>
    <w:rsid w:val="00F647C5"/>
    <w:rsid w:val="00F64A52"/>
    <w:rsid w:val="00F64B1E"/>
    <w:rsid w:val="00F64C0E"/>
    <w:rsid w:val="00F64CA3"/>
    <w:rsid w:val="00F64CC7"/>
    <w:rsid w:val="00F651C7"/>
    <w:rsid w:val="00F655A2"/>
    <w:rsid w:val="00F655BD"/>
    <w:rsid w:val="00F656DF"/>
    <w:rsid w:val="00F656FA"/>
    <w:rsid w:val="00F66097"/>
    <w:rsid w:val="00F66582"/>
    <w:rsid w:val="00F666A3"/>
    <w:rsid w:val="00F666F0"/>
    <w:rsid w:val="00F6694A"/>
    <w:rsid w:val="00F66AC8"/>
    <w:rsid w:val="00F67006"/>
    <w:rsid w:val="00F6718C"/>
    <w:rsid w:val="00F67550"/>
    <w:rsid w:val="00F67824"/>
    <w:rsid w:val="00F678D7"/>
    <w:rsid w:val="00F67909"/>
    <w:rsid w:val="00F67D21"/>
    <w:rsid w:val="00F67EC5"/>
    <w:rsid w:val="00F70059"/>
    <w:rsid w:val="00F7008C"/>
    <w:rsid w:val="00F7048B"/>
    <w:rsid w:val="00F705FB"/>
    <w:rsid w:val="00F706D0"/>
    <w:rsid w:val="00F70822"/>
    <w:rsid w:val="00F70888"/>
    <w:rsid w:val="00F70981"/>
    <w:rsid w:val="00F70C01"/>
    <w:rsid w:val="00F70C33"/>
    <w:rsid w:val="00F70DC3"/>
    <w:rsid w:val="00F70F04"/>
    <w:rsid w:val="00F71211"/>
    <w:rsid w:val="00F7176A"/>
    <w:rsid w:val="00F71899"/>
    <w:rsid w:val="00F71AF0"/>
    <w:rsid w:val="00F71D03"/>
    <w:rsid w:val="00F71D5A"/>
    <w:rsid w:val="00F71DB0"/>
    <w:rsid w:val="00F71E63"/>
    <w:rsid w:val="00F722E3"/>
    <w:rsid w:val="00F72406"/>
    <w:rsid w:val="00F72872"/>
    <w:rsid w:val="00F72902"/>
    <w:rsid w:val="00F72965"/>
    <w:rsid w:val="00F72D7D"/>
    <w:rsid w:val="00F732E8"/>
    <w:rsid w:val="00F7376E"/>
    <w:rsid w:val="00F73B37"/>
    <w:rsid w:val="00F73BC0"/>
    <w:rsid w:val="00F73CE2"/>
    <w:rsid w:val="00F73DA5"/>
    <w:rsid w:val="00F73DE2"/>
    <w:rsid w:val="00F73FA4"/>
    <w:rsid w:val="00F74120"/>
    <w:rsid w:val="00F74232"/>
    <w:rsid w:val="00F74274"/>
    <w:rsid w:val="00F742FC"/>
    <w:rsid w:val="00F744B8"/>
    <w:rsid w:val="00F747E3"/>
    <w:rsid w:val="00F74904"/>
    <w:rsid w:val="00F74AA3"/>
    <w:rsid w:val="00F74BA9"/>
    <w:rsid w:val="00F74D18"/>
    <w:rsid w:val="00F74D46"/>
    <w:rsid w:val="00F75061"/>
    <w:rsid w:val="00F75071"/>
    <w:rsid w:val="00F750C1"/>
    <w:rsid w:val="00F751A1"/>
    <w:rsid w:val="00F753F8"/>
    <w:rsid w:val="00F757AE"/>
    <w:rsid w:val="00F759B0"/>
    <w:rsid w:val="00F760C3"/>
    <w:rsid w:val="00F760EB"/>
    <w:rsid w:val="00F76146"/>
    <w:rsid w:val="00F76268"/>
    <w:rsid w:val="00F762DB"/>
    <w:rsid w:val="00F763D7"/>
    <w:rsid w:val="00F7641C"/>
    <w:rsid w:val="00F76482"/>
    <w:rsid w:val="00F765EF"/>
    <w:rsid w:val="00F7665C"/>
    <w:rsid w:val="00F76678"/>
    <w:rsid w:val="00F76A1C"/>
    <w:rsid w:val="00F7720D"/>
    <w:rsid w:val="00F774DE"/>
    <w:rsid w:val="00F77508"/>
    <w:rsid w:val="00F77779"/>
    <w:rsid w:val="00F778A5"/>
    <w:rsid w:val="00F77CA4"/>
    <w:rsid w:val="00F77D70"/>
    <w:rsid w:val="00F77EC6"/>
    <w:rsid w:val="00F802F4"/>
    <w:rsid w:val="00F80522"/>
    <w:rsid w:val="00F806A9"/>
    <w:rsid w:val="00F80955"/>
    <w:rsid w:val="00F80B9D"/>
    <w:rsid w:val="00F80F55"/>
    <w:rsid w:val="00F81034"/>
    <w:rsid w:val="00F81076"/>
    <w:rsid w:val="00F81105"/>
    <w:rsid w:val="00F81167"/>
    <w:rsid w:val="00F81311"/>
    <w:rsid w:val="00F81408"/>
    <w:rsid w:val="00F815B1"/>
    <w:rsid w:val="00F815D4"/>
    <w:rsid w:val="00F8173F"/>
    <w:rsid w:val="00F818F5"/>
    <w:rsid w:val="00F81A0C"/>
    <w:rsid w:val="00F81A70"/>
    <w:rsid w:val="00F81CD8"/>
    <w:rsid w:val="00F81E5D"/>
    <w:rsid w:val="00F81E8C"/>
    <w:rsid w:val="00F81F64"/>
    <w:rsid w:val="00F82200"/>
    <w:rsid w:val="00F82321"/>
    <w:rsid w:val="00F8244A"/>
    <w:rsid w:val="00F8244C"/>
    <w:rsid w:val="00F8268E"/>
    <w:rsid w:val="00F827D8"/>
    <w:rsid w:val="00F828DF"/>
    <w:rsid w:val="00F829CE"/>
    <w:rsid w:val="00F82D1E"/>
    <w:rsid w:val="00F82D57"/>
    <w:rsid w:val="00F830DF"/>
    <w:rsid w:val="00F83172"/>
    <w:rsid w:val="00F832FD"/>
    <w:rsid w:val="00F8349B"/>
    <w:rsid w:val="00F83583"/>
    <w:rsid w:val="00F8385F"/>
    <w:rsid w:val="00F83935"/>
    <w:rsid w:val="00F83BFC"/>
    <w:rsid w:val="00F83D71"/>
    <w:rsid w:val="00F83F7D"/>
    <w:rsid w:val="00F84075"/>
    <w:rsid w:val="00F84279"/>
    <w:rsid w:val="00F845FF"/>
    <w:rsid w:val="00F84900"/>
    <w:rsid w:val="00F849EE"/>
    <w:rsid w:val="00F84D23"/>
    <w:rsid w:val="00F84D8E"/>
    <w:rsid w:val="00F84EB6"/>
    <w:rsid w:val="00F84FC5"/>
    <w:rsid w:val="00F85025"/>
    <w:rsid w:val="00F8540A"/>
    <w:rsid w:val="00F8570E"/>
    <w:rsid w:val="00F85AE6"/>
    <w:rsid w:val="00F85C32"/>
    <w:rsid w:val="00F85E90"/>
    <w:rsid w:val="00F85F3C"/>
    <w:rsid w:val="00F85FEC"/>
    <w:rsid w:val="00F8629D"/>
    <w:rsid w:val="00F863EA"/>
    <w:rsid w:val="00F8640C"/>
    <w:rsid w:val="00F86424"/>
    <w:rsid w:val="00F867FD"/>
    <w:rsid w:val="00F86A98"/>
    <w:rsid w:val="00F86B8A"/>
    <w:rsid w:val="00F86E09"/>
    <w:rsid w:val="00F86ECC"/>
    <w:rsid w:val="00F871B2"/>
    <w:rsid w:val="00F872E8"/>
    <w:rsid w:val="00F87391"/>
    <w:rsid w:val="00F87E6F"/>
    <w:rsid w:val="00F87EC3"/>
    <w:rsid w:val="00F87FC7"/>
    <w:rsid w:val="00F87FF5"/>
    <w:rsid w:val="00F87FFC"/>
    <w:rsid w:val="00F9033E"/>
    <w:rsid w:val="00F906FA"/>
    <w:rsid w:val="00F909A9"/>
    <w:rsid w:val="00F90A3F"/>
    <w:rsid w:val="00F90E3C"/>
    <w:rsid w:val="00F910BE"/>
    <w:rsid w:val="00F911C2"/>
    <w:rsid w:val="00F91270"/>
    <w:rsid w:val="00F91597"/>
    <w:rsid w:val="00F917B7"/>
    <w:rsid w:val="00F91804"/>
    <w:rsid w:val="00F91815"/>
    <w:rsid w:val="00F91B02"/>
    <w:rsid w:val="00F91F7C"/>
    <w:rsid w:val="00F91FCD"/>
    <w:rsid w:val="00F92065"/>
    <w:rsid w:val="00F92324"/>
    <w:rsid w:val="00F929C2"/>
    <w:rsid w:val="00F92AF7"/>
    <w:rsid w:val="00F93084"/>
    <w:rsid w:val="00F9314F"/>
    <w:rsid w:val="00F9319F"/>
    <w:rsid w:val="00F93201"/>
    <w:rsid w:val="00F93574"/>
    <w:rsid w:val="00F935DF"/>
    <w:rsid w:val="00F937E4"/>
    <w:rsid w:val="00F93DD4"/>
    <w:rsid w:val="00F93E20"/>
    <w:rsid w:val="00F94404"/>
    <w:rsid w:val="00F944A9"/>
    <w:rsid w:val="00F944F2"/>
    <w:rsid w:val="00F945EB"/>
    <w:rsid w:val="00F94917"/>
    <w:rsid w:val="00F949D5"/>
    <w:rsid w:val="00F949DF"/>
    <w:rsid w:val="00F94A6E"/>
    <w:rsid w:val="00F94C75"/>
    <w:rsid w:val="00F94D8E"/>
    <w:rsid w:val="00F94D96"/>
    <w:rsid w:val="00F94DCB"/>
    <w:rsid w:val="00F9559A"/>
    <w:rsid w:val="00F9572D"/>
    <w:rsid w:val="00F959BB"/>
    <w:rsid w:val="00F959E2"/>
    <w:rsid w:val="00F95A18"/>
    <w:rsid w:val="00F95AA9"/>
    <w:rsid w:val="00F95BDA"/>
    <w:rsid w:val="00F95ED7"/>
    <w:rsid w:val="00F95EE2"/>
    <w:rsid w:val="00F95F9B"/>
    <w:rsid w:val="00F95FDB"/>
    <w:rsid w:val="00F963FF"/>
    <w:rsid w:val="00F96538"/>
    <w:rsid w:val="00F96556"/>
    <w:rsid w:val="00F96588"/>
    <w:rsid w:val="00F96739"/>
    <w:rsid w:val="00F96845"/>
    <w:rsid w:val="00F96CB8"/>
    <w:rsid w:val="00F96D39"/>
    <w:rsid w:val="00F96E7F"/>
    <w:rsid w:val="00F96FB4"/>
    <w:rsid w:val="00F97014"/>
    <w:rsid w:val="00F970F7"/>
    <w:rsid w:val="00F97122"/>
    <w:rsid w:val="00F972D3"/>
    <w:rsid w:val="00F975EC"/>
    <w:rsid w:val="00F97669"/>
    <w:rsid w:val="00F976F9"/>
    <w:rsid w:val="00F9796A"/>
    <w:rsid w:val="00F979BF"/>
    <w:rsid w:val="00F97A14"/>
    <w:rsid w:val="00F97B09"/>
    <w:rsid w:val="00F97D04"/>
    <w:rsid w:val="00F97D0C"/>
    <w:rsid w:val="00F97DED"/>
    <w:rsid w:val="00F97E14"/>
    <w:rsid w:val="00F97EAE"/>
    <w:rsid w:val="00FA0046"/>
    <w:rsid w:val="00FA01C3"/>
    <w:rsid w:val="00FA01E9"/>
    <w:rsid w:val="00FA049F"/>
    <w:rsid w:val="00FA04FB"/>
    <w:rsid w:val="00FA050D"/>
    <w:rsid w:val="00FA057E"/>
    <w:rsid w:val="00FA060C"/>
    <w:rsid w:val="00FA07C8"/>
    <w:rsid w:val="00FA0821"/>
    <w:rsid w:val="00FA08AD"/>
    <w:rsid w:val="00FA0AD7"/>
    <w:rsid w:val="00FA0BFA"/>
    <w:rsid w:val="00FA0D2C"/>
    <w:rsid w:val="00FA0DE0"/>
    <w:rsid w:val="00FA0EB6"/>
    <w:rsid w:val="00FA0F68"/>
    <w:rsid w:val="00FA0F8A"/>
    <w:rsid w:val="00FA1090"/>
    <w:rsid w:val="00FA1822"/>
    <w:rsid w:val="00FA1903"/>
    <w:rsid w:val="00FA1B83"/>
    <w:rsid w:val="00FA1D7A"/>
    <w:rsid w:val="00FA1F01"/>
    <w:rsid w:val="00FA2046"/>
    <w:rsid w:val="00FA236A"/>
    <w:rsid w:val="00FA246A"/>
    <w:rsid w:val="00FA24FF"/>
    <w:rsid w:val="00FA2783"/>
    <w:rsid w:val="00FA27C1"/>
    <w:rsid w:val="00FA2836"/>
    <w:rsid w:val="00FA2950"/>
    <w:rsid w:val="00FA2964"/>
    <w:rsid w:val="00FA2ADE"/>
    <w:rsid w:val="00FA2B27"/>
    <w:rsid w:val="00FA2B6F"/>
    <w:rsid w:val="00FA3056"/>
    <w:rsid w:val="00FA3223"/>
    <w:rsid w:val="00FA33AE"/>
    <w:rsid w:val="00FA33F5"/>
    <w:rsid w:val="00FA35A3"/>
    <w:rsid w:val="00FA35D0"/>
    <w:rsid w:val="00FA3B73"/>
    <w:rsid w:val="00FA3C91"/>
    <w:rsid w:val="00FA4136"/>
    <w:rsid w:val="00FA4CFE"/>
    <w:rsid w:val="00FA5311"/>
    <w:rsid w:val="00FA540C"/>
    <w:rsid w:val="00FA554C"/>
    <w:rsid w:val="00FA554D"/>
    <w:rsid w:val="00FA556F"/>
    <w:rsid w:val="00FA5B5F"/>
    <w:rsid w:val="00FA5B89"/>
    <w:rsid w:val="00FA61E8"/>
    <w:rsid w:val="00FA6723"/>
    <w:rsid w:val="00FA67FE"/>
    <w:rsid w:val="00FA691B"/>
    <w:rsid w:val="00FA69C7"/>
    <w:rsid w:val="00FA6C11"/>
    <w:rsid w:val="00FA6D08"/>
    <w:rsid w:val="00FA7270"/>
    <w:rsid w:val="00FA7300"/>
    <w:rsid w:val="00FA75B6"/>
    <w:rsid w:val="00FA75F8"/>
    <w:rsid w:val="00FA7921"/>
    <w:rsid w:val="00FA7D60"/>
    <w:rsid w:val="00FB0CD0"/>
    <w:rsid w:val="00FB0CE3"/>
    <w:rsid w:val="00FB0D8F"/>
    <w:rsid w:val="00FB0DAC"/>
    <w:rsid w:val="00FB0EF5"/>
    <w:rsid w:val="00FB0F5B"/>
    <w:rsid w:val="00FB10B1"/>
    <w:rsid w:val="00FB11D3"/>
    <w:rsid w:val="00FB11DF"/>
    <w:rsid w:val="00FB1629"/>
    <w:rsid w:val="00FB16AA"/>
    <w:rsid w:val="00FB17C4"/>
    <w:rsid w:val="00FB1CD8"/>
    <w:rsid w:val="00FB21A3"/>
    <w:rsid w:val="00FB227B"/>
    <w:rsid w:val="00FB2314"/>
    <w:rsid w:val="00FB24D5"/>
    <w:rsid w:val="00FB26E0"/>
    <w:rsid w:val="00FB29D0"/>
    <w:rsid w:val="00FB2B69"/>
    <w:rsid w:val="00FB2B6B"/>
    <w:rsid w:val="00FB2BCA"/>
    <w:rsid w:val="00FB2C55"/>
    <w:rsid w:val="00FB2CF8"/>
    <w:rsid w:val="00FB3096"/>
    <w:rsid w:val="00FB3232"/>
    <w:rsid w:val="00FB33C7"/>
    <w:rsid w:val="00FB3438"/>
    <w:rsid w:val="00FB3937"/>
    <w:rsid w:val="00FB399D"/>
    <w:rsid w:val="00FB3A7A"/>
    <w:rsid w:val="00FB3C05"/>
    <w:rsid w:val="00FB3C30"/>
    <w:rsid w:val="00FB3CA5"/>
    <w:rsid w:val="00FB3EEE"/>
    <w:rsid w:val="00FB3FFA"/>
    <w:rsid w:val="00FB402B"/>
    <w:rsid w:val="00FB40B0"/>
    <w:rsid w:val="00FB41A2"/>
    <w:rsid w:val="00FB4C1E"/>
    <w:rsid w:val="00FB4C5F"/>
    <w:rsid w:val="00FB4D32"/>
    <w:rsid w:val="00FB4DCD"/>
    <w:rsid w:val="00FB5355"/>
    <w:rsid w:val="00FB55D0"/>
    <w:rsid w:val="00FB562E"/>
    <w:rsid w:val="00FB5643"/>
    <w:rsid w:val="00FB5703"/>
    <w:rsid w:val="00FB59CA"/>
    <w:rsid w:val="00FB5DC0"/>
    <w:rsid w:val="00FB6164"/>
    <w:rsid w:val="00FB61FE"/>
    <w:rsid w:val="00FB6297"/>
    <w:rsid w:val="00FB658E"/>
    <w:rsid w:val="00FB6680"/>
    <w:rsid w:val="00FB6AAC"/>
    <w:rsid w:val="00FB6AC9"/>
    <w:rsid w:val="00FB6C00"/>
    <w:rsid w:val="00FB6C2D"/>
    <w:rsid w:val="00FB6DFA"/>
    <w:rsid w:val="00FB6E4F"/>
    <w:rsid w:val="00FB786C"/>
    <w:rsid w:val="00FB78D3"/>
    <w:rsid w:val="00FB79C3"/>
    <w:rsid w:val="00FB7D0C"/>
    <w:rsid w:val="00FB7F55"/>
    <w:rsid w:val="00FB7FBB"/>
    <w:rsid w:val="00FC0183"/>
    <w:rsid w:val="00FC034B"/>
    <w:rsid w:val="00FC0A84"/>
    <w:rsid w:val="00FC0AB5"/>
    <w:rsid w:val="00FC0BEA"/>
    <w:rsid w:val="00FC0C2B"/>
    <w:rsid w:val="00FC0FCC"/>
    <w:rsid w:val="00FC12F9"/>
    <w:rsid w:val="00FC13CE"/>
    <w:rsid w:val="00FC1630"/>
    <w:rsid w:val="00FC1A07"/>
    <w:rsid w:val="00FC1F1D"/>
    <w:rsid w:val="00FC1F23"/>
    <w:rsid w:val="00FC1FD8"/>
    <w:rsid w:val="00FC254A"/>
    <w:rsid w:val="00FC2770"/>
    <w:rsid w:val="00FC285A"/>
    <w:rsid w:val="00FC286D"/>
    <w:rsid w:val="00FC2CBB"/>
    <w:rsid w:val="00FC314F"/>
    <w:rsid w:val="00FC3828"/>
    <w:rsid w:val="00FC386D"/>
    <w:rsid w:val="00FC3F1F"/>
    <w:rsid w:val="00FC421F"/>
    <w:rsid w:val="00FC4542"/>
    <w:rsid w:val="00FC456F"/>
    <w:rsid w:val="00FC45C0"/>
    <w:rsid w:val="00FC4734"/>
    <w:rsid w:val="00FC4864"/>
    <w:rsid w:val="00FC48B8"/>
    <w:rsid w:val="00FC48D6"/>
    <w:rsid w:val="00FC4C03"/>
    <w:rsid w:val="00FC51D9"/>
    <w:rsid w:val="00FC5279"/>
    <w:rsid w:val="00FC5406"/>
    <w:rsid w:val="00FC58FB"/>
    <w:rsid w:val="00FC599C"/>
    <w:rsid w:val="00FC5B58"/>
    <w:rsid w:val="00FC5BFF"/>
    <w:rsid w:val="00FC5D9E"/>
    <w:rsid w:val="00FC604D"/>
    <w:rsid w:val="00FC608A"/>
    <w:rsid w:val="00FC6224"/>
    <w:rsid w:val="00FC64BF"/>
    <w:rsid w:val="00FC67EF"/>
    <w:rsid w:val="00FC694D"/>
    <w:rsid w:val="00FC6A6C"/>
    <w:rsid w:val="00FC6E2C"/>
    <w:rsid w:val="00FC71CC"/>
    <w:rsid w:val="00FC7232"/>
    <w:rsid w:val="00FC76D3"/>
    <w:rsid w:val="00FC76F9"/>
    <w:rsid w:val="00FC7FAB"/>
    <w:rsid w:val="00FD00CC"/>
    <w:rsid w:val="00FD00CF"/>
    <w:rsid w:val="00FD02D7"/>
    <w:rsid w:val="00FD03C2"/>
    <w:rsid w:val="00FD0735"/>
    <w:rsid w:val="00FD078E"/>
    <w:rsid w:val="00FD091F"/>
    <w:rsid w:val="00FD0AB6"/>
    <w:rsid w:val="00FD1167"/>
    <w:rsid w:val="00FD136E"/>
    <w:rsid w:val="00FD160D"/>
    <w:rsid w:val="00FD1748"/>
    <w:rsid w:val="00FD19D1"/>
    <w:rsid w:val="00FD1CEA"/>
    <w:rsid w:val="00FD1D12"/>
    <w:rsid w:val="00FD1D44"/>
    <w:rsid w:val="00FD1E31"/>
    <w:rsid w:val="00FD1EB7"/>
    <w:rsid w:val="00FD20D0"/>
    <w:rsid w:val="00FD21F9"/>
    <w:rsid w:val="00FD23A8"/>
    <w:rsid w:val="00FD25AA"/>
    <w:rsid w:val="00FD260B"/>
    <w:rsid w:val="00FD2630"/>
    <w:rsid w:val="00FD2668"/>
    <w:rsid w:val="00FD26B8"/>
    <w:rsid w:val="00FD29BB"/>
    <w:rsid w:val="00FD2EAD"/>
    <w:rsid w:val="00FD3277"/>
    <w:rsid w:val="00FD32B4"/>
    <w:rsid w:val="00FD336F"/>
    <w:rsid w:val="00FD3507"/>
    <w:rsid w:val="00FD36E2"/>
    <w:rsid w:val="00FD3A02"/>
    <w:rsid w:val="00FD3A06"/>
    <w:rsid w:val="00FD3B24"/>
    <w:rsid w:val="00FD3D9B"/>
    <w:rsid w:val="00FD3EF2"/>
    <w:rsid w:val="00FD40F0"/>
    <w:rsid w:val="00FD42A5"/>
    <w:rsid w:val="00FD4514"/>
    <w:rsid w:val="00FD55F1"/>
    <w:rsid w:val="00FD5635"/>
    <w:rsid w:val="00FD5690"/>
    <w:rsid w:val="00FD57E1"/>
    <w:rsid w:val="00FD5931"/>
    <w:rsid w:val="00FD5A62"/>
    <w:rsid w:val="00FD5C0F"/>
    <w:rsid w:val="00FD5CBD"/>
    <w:rsid w:val="00FD5D2D"/>
    <w:rsid w:val="00FD6561"/>
    <w:rsid w:val="00FD6634"/>
    <w:rsid w:val="00FD6708"/>
    <w:rsid w:val="00FD6A48"/>
    <w:rsid w:val="00FD6AED"/>
    <w:rsid w:val="00FD6C9B"/>
    <w:rsid w:val="00FD6DCD"/>
    <w:rsid w:val="00FD6E0B"/>
    <w:rsid w:val="00FD6E7C"/>
    <w:rsid w:val="00FD700F"/>
    <w:rsid w:val="00FD71E3"/>
    <w:rsid w:val="00FD72DD"/>
    <w:rsid w:val="00FD76E0"/>
    <w:rsid w:val="00FD7B05"/>
    <w:rsid w:val="00FD7B5B"/>
    <w:rsid w:val="00FD7BA6"/>
    <w:rsid w:val="00FE027C"/>
    <w:rsid w:val="00FE031B"/>
    <w:rsid w:val="00FE037B"/>
    <w:rsid w:val="00FE0758"/>
    <w:rsid w:val="00FE077A"/>
    <w:rsid w:val="00FE0873"/>
    <w:rsid w:val="00FE0893"/>
    <w:rsid w:val="00FE08B3"/>
    <w:rsid w:val="00FE09DE"/>
    <w:rsid w:val="00FE0BCC"/>
    <w:rsid w:val="00FE0CFE"/>
    <w:rsid w:val="00FE0D57"/>
    <w:rsid w:val="00FE0D69"/>
    <w:rsid w:val="00FE0E1E"/>
    <w:rsid w:val="00FE0F37"/>
    <w:rsid w:val="00FE10BB"/>
    <w:rsid w:val="00FE10ED"/>
    <w:rsid w:val="00FE12EF"/>
    <w:rsid w:val="00FE1629"/>
    <w:rsid w:val="00FE1995"/>
    <w:rsid w:val="00FE1CEA"/>
    <w:rsid w:val="00FE2038"/>
    <w:rsid w:val="00FE215B"/>
    <w:rsid w:val="00FE21F4"/>
    <w:rsid w:val="00FE2478"/>
    <w:rsid w:val="00FE2898"/>
    <w:rsid w:val="00FE2934"/>
    <w:rsid w:val="00FE297C"/>
    <w:rsid w:val="00FE2BB9"/>
    <w:rsid w:val="00FE2C7E"/>
    <w:rsid w:val="00FE2F60"/>
    <w:rsid w:val="00FE325E"/>
    <w:rsid w:val="00FE32EB"/>
    <w:rsid w:val="00FE344E"/>
    <w:rsid w:val="00FE3628"/>
    <w:rsid w:val="00FE44D3"/>
    <w:rsid w:val="00FE452C"/>
    <w:rsid w:val="00FE45FC"/>
    <w:rsid w:val="00FE49E8"/>
    <w:rsid w:val="00FE4BCF"/>
    <w:rsid w:val="00FE4D6A"/>
    <w:rsid w:val="00FE4E63"/>
    <w:rsid w:val="00FE50A2"/>
    <w:rsid w:val="00FE51FE"/>
    <w:rsid w:val="00FE5370"/>
    <w:rsid w:val="00FE560B"/>
    <w:rsid w:val="00FE5946"/>
    <w:rsid w:val="00FE5BC7"/>
    <w:rsid w:val="00FE5CE3"/>
    <w:rsid w:val="00FE5E52"/>
    <w:rsid w:val="00FE5E78"/>
    <w:rsid w:val="00FE6084"/>
    <w:rsid w:val="00FE60A5"/>
    <w:rsid w:val="00FE6556"/>
    <w:rsid w:val="00FE6728"/>
    <w:rsid w:val="00FE6ABF"/>
    <w:rsid w:val="00FE6B56"/>
    <w:rsid w:val="00FE6E77"/>
    <w:rsid w:val="00FE7284"/>
    <w:rsid w:val="00FE75CA"/>
    <w:rsid w:val="00FE7914"/>
    <w:rsid w:val="00FE7C72"/>
    <w:rsid w:val="00FE7C73"/>
    <w:rsid w:val="00FE7DF0"/>
    <w:rsid w:val="00FE7E26"/>
    <w:rsid w:val="00FF006C"/>
    <w:rsid w:val="00FF0343"/>
    <w:rsid w:val="00FF040E"/>
    <w:rsid w:val="00FF0422"/>
    <w:rsid w:val="00FF05AF"/>
    <w:rsid w:val="00FF05C2"/>
    <w:rsid w:val="00FF06CF"/>
    <w:rsid w:val="00FF0799"/>
    <w:rsid w:val="00FF07BA"/>
    <w:rsid w:val="00FF0B84"/>
    <w:rsid w:val="00FF0D2F"/>
    <w:rsid w:val="00FF0D85"/>
    <w:rsid w:val="00FF0EC9"/>
    <w:rsid w:val="00FF12CF"/>
    <w:rsid w:val="00FF1305"/>
    <w:rsid w:val="00FF1555"/>
    <w:rsid w:val="00FF1690"/>
    <w:rsid w:val="00FF1A41"/>
    <w:rsid w:val="00FF1BAD"/>
    <w:rsid w:val="00FF1BC7"/>
    <w:rsid w:val="00FF2285"/>
    <w:rsid w:val="00FF2294"/>
    <w:rsid w:val="00FF24EF"/>
    <w:rsid w:val="00FF256A"/>
    <w:rsid w:val="00FF258D"/>
    <w:rsid w:val="00FF2672"/>
    <w:rsid w:val="00FF273C"/>
    <w:rsid w:val="00FF282B"/>
    <w:rsid w:val="00FF2AAF"/>
    <w:rsid w:val="00FF2D17"/>
    <w:rsid w:val="00FF2D8E"/>
    <w:rsid w:val="00FF2FEC"/>
    <w:rsid w:val="00FF3006"/>
    <w:rsid w:val="00FF31A8"/>
    <w:rsid w:val="00FF32AB"/>
    <w:rsid w:val="00FF32AF"/>
    <w:rsid w:val="00FF3476"/>
    <w:rsid w:val="00FF37BE"/>
    <w:rsid w:val="00FF3A3D"/>
    <w:rsid w:val="00FF3C43"/>
    <w:rsid w:val="00FF4130"/>
    <w:rsid w:val="00FF4349"/>
    <w:rsid w:val="00FF4369"/>
    <w:rsid w:val="00FF463E"/>
    <w:rsid w:val="00FF476A"/>
    <w:rsid w:val="00FF498C"/>
    <w:rsid w:val="00FF49C7"/>
    <w:rsid w:val="00FF4F68"/>
    <w:rsid w:val="00FF4F8F"/>
    <w:rsid w:val="00FF4FCB"/>
    <w:rsid w:val="00FF5116"/>
    <w:rsid w:val="00FF51DB"/>
    <w:rsid w:val="00FF526D"/>
    <w:rsid w:val="00FF5314"/>
    <w:rsid w:val="00FF5379"/>
    <w:rsid w:val="00FF5465"/>
    <w:rsid w:val="00FF5677"/>
    <w:rsid w:val="00FF56A5"/>
    <w:rsid w:val="00FF56FF"/>
    <w:rsid w:val="00FF5734"/>
    <w:rsid w:val="00FF5790"/>
    <w:rsid w:val="00FF57CB"/>
    <w:rsid w:val="00FF5C14"/>
    <w:rsid w:val="00FF5E01"/>
    <w:rsid w:val="00FF5E31"/>
    <w:rsid w:val="00FF6261"/>
    <w:rsid w:val="00FF62DB"/>
    <w:rsid w:val="00FF6705"/>
    <w:rsid w:val="00FF6977"/>
    <w:rsid w:val="00FF69B9"/>
    <w:rsid w:val="00FF6D29"/>
    <w:rsid w:val="00FF6D40"/>
    <w:rsid w:val="00FF70F2"/>
    <w:rsid w:val="00FF7138"/>
    <w:rsid w:val="00FF720B"/>
    <w:rsid w:val="00FF72C0"/>
    <w:rsid w:val="00FF73E7"/>
    <w:rsid w:val="00FF7665"/>
    <w:rsid w:val="00FF7CCD"/>
    <w:rsid w:val="05A4579C"/>
    <w:rsid w:val="088A6802"/>
    <w:rsid w:val="0BE968BD"/>
    <w:rsid w:val="0FCF128D"/>
    <w:rsid w:val="104F318E"/>
    <w:rsid w:val="175E394D"/>
    <w:rsid w:val="1A7C1810"/>
    <w:rsid w:val="1DA846B5"/>
    <w:rsid w:val="25C74C27"/>
    <w:rsid w:val="2989E1EC"/>
    <w:rsid w:val="2D5BE664"/>
    <w:rsid w:val="2F1C7930"/>
    <w:rsid w:val="3FA42D95"/>
    <w:rsid w:val="4703B58E"/>
    <w:rsid w:val="51593915"/>
    <w:rsid w:val="5F036183"/>
    <w:rsid w:val="5FE32CAB"/>
    <w:rsid w:val="602F95E3"/>
    <w:rsid w:val="609AD166"/>
    <w:rsid w:val="631ACD6D"/>
    <w:rsid w:val="64B69DCE"/>
    <w:rsid w:val="64B7155C"/>
    <w:rsid w:val="6A4A0A98"/>
    <w:rsid w:val="6ADE2063"/>
    <w:rsid w:val="6F3F12EF"/>
    <w:rsid w:val="7CFAB94D"/>
    <w:rsid w:val="7D3FC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56309"/>
  <w15:docId w15:val="{7DE759DE-E297-4B3A-B23F-0DEF9918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CDF"/>
    <w:pPr>
      <w:spacing w:before="160" w:line="336" w:lineRule="auto"/>
    </w:pPr>
    <w:rPr>
      <w:lang w:val="en-AU"/>
    </w:rPr>
  </w:style>
  <w:style w:type="paragraph" w:styleId="Heading1">
    <w:name w:val="heading 1"/>
    <w:basedOn w:val="Normal"/>
    <w:next w:val="Normal"/>
    <w:link w:val="Heading1Char"/>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BodyText"/>
    <w:link w:val="Heading6Char"/>
    <w:rsid w:val="006566D4"/>
    <w:pPr>
      <w:keepNext/>
      <w:keepLines/>
      <w:spacing w:before="240" w:after="70" w:line="276" w:lineRule="auto"/>
      <w:outlineLvl w:val="5"/>
    </w:pPr>
    <w:rPr>
      <w:rFonts w:asciiTheme="majorHAnsi" w:eastAsiaTheme="majorEastAsia" w:hAnsiTheme="majorHAnsi" w:cstheme="majorBidi"/>
      <w:i/>
      <w:iCs/>
      <w:color w:val="000000" w:themeColor="text1"/>
      <w:spacing w:val="3"/>
      <w:sz w:val="23"/>
      <w:szCs w:val="21"/>
    </w:rPr>
  </w:style>
  <w:style w:type="paragraph" w:styleId="Heading7">
    <w:name w:val="heading 7"/>
    <w:basedOn w:val="Normal"/>
    <w:next w:val="BodyText"/>
    <w:link w:val="Heading7Char"/>
    <w:semiHidden/>
    <w:unhideWhenUsed/>
    <w:qFormat/>
    <w:rsid w:val="006566D4"/>
    <w:pPr>
      <w:keepNext/>
      <w:keepLines/>
      <w:pageBreakBefore/>
      <w:spacing w:before="0" w:afterLines="100" w:after="0" w:line="280" w:lineRule="atLeast"/>
      <w:outlineLvl w:val="6"/>
    </w:pPr>
    <w:rPr>
      <w:rFonts w:asciiTheme="majorHAnsi" w:eastAsiaTheme="majorEastAsia" w:hAnsiTheme="majorHAnsi" w:cstheme="majorBidi"/>
      <w:b/>
      <w:iCs/>
      <w:color w:val="000000" w:themeColor="text1"/>
      <w:spacing w:val="2"/>
      <w:sz w:val="21"/>
      <w:szCs w:val="21"/>
      <w:lang w:eastAsia="en-AU"/>
    </w:rPr>
  </w:style>
  <w:style w:type="paragraph" w:styleId="Heading8">
    <w:name w:val="heading 8"/>
    <w:aliases w:val="Appendix Title"/>
    <w:basedOn w:val="Normal"/>
    <w:next w:val="BodyText"/>
    <w:link w:val="Heading8Char"/>
    <w:uiPriority w:val="2"/>
    <w:qFormat/>
    <w:rsid w:val="00551FF1"/>
    <w:pPr>
      <w:keepNext/>
      <w:keepLines/>
      <w:pageBreakBefore/>
      <w:numPr>
        <w:numId w:val="7"/>
      </w:numPr>
      <w:tabs>
        <w:tab w:val="right" w:pos="9639"/>
      </w:tabs>
      <w:spacing w:before="300" w:after="70" w:line="280" w:lineRule="atLeast"/>
      <w:outlineLvl w:val="7"/>
    </w:pPr>
    <w:rPr>
      <w:rFonts w:asciiTheme="majorHAnsi" w:eastAsiaTheme="majorEastAsia" w:hAnsiTheme="majorHAnsi" w:cstheme="majorBidi"/>
      <w:b/>
      <w:caps/>
      <w:color w:val="4986A0" w:themeColor="text2"/>
      <w:spacing w:val="2"/>
      <w:sz w:val="28"/>
      <w:szCs w:val="21"/>
    </w:rPr>
  </w:style>
  <w:style w:type="paragraph" w:styleId="Heading9">
    <w:name w:val="heading 9"/>
    <w:aliases w:val="Appendix Heading 1"/>
    <w:basedOn w:val="Normal"/>
    <w:next w:val="BodyText"/>
    <w:link w:val="Heading9Char"/>
    <w:uiPriority w:val="2"/>
    <w:qFormat/>
    <w:rsid w:val="006566D4"/>
    <w:pPr>
      <w:keepNext/>
      <w:keepLines/>
      <w:numPr>
        <w:ilvl w:val="1"/>
        <w:numId w:val="7"/>
      </w:numPr>
      <w:tabs>
        <w:tab w:val="right" w:pos="9639"/>
      </w:tabs>
      <w:spacing w:before="300" w:after="70" w:line="280" w:lineRule="atLeast"/>
      <w:outlineLvl w:val="8"/>
    </w:pPr>
    <w:rPr>
      <w:rFonts w:asciiTheme="majorHAnsi" w:eastAsia="Times New Roman" w:hAnsiTheme="majorHAnsi" w:cs="Arial"/>
      <w:b/>
      <w:color w:val="4986A0" w:themeColor="text2"/>
      <w:spacing w:val="2"/>
      <w:sz w:val="2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E03FA"/>
    <w:pPr>
      <w:tabs>
        <w:tab w:val="center" w:pos="4680"/>
        <w:tab w:val="right" w:pos="9360"/>
      </w:tabs>
      <w:spacing w:after="0"/>
    </w:pPr>
  </w:style>
  <w:style w:type="character" w:customStyle="1" w:styleId="HeaderChar">
    <w:name w:val="Header Char"/>
    <w:basedOn w:val="DefaultParagraphFont"/>
    <w:link w:val="Header"/>
    <w:uiPriority w:val="99"/>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rsid w:val="002E7385"/>
    <w:rPr>
      <w:rFonts w:ascii="Tahoma" w:eastAsiaTheme="minorEastAsia" w:hAnsi="Tahoma"/>
      <w:color w:val="75787B" w:themeColor="background2"/>
      <w:sz w:val="28"/>
    </w:rPr>
  </w:style>
  <w:style w:type="character" w:styleId="PlaceholderText">
    <w:name w:val="Placeholder Text"/>
    <w:basedOn w:val="DefaultParagraphFont"/>
    <w:semiHidden/>
    <w:rsid w:val="00615C49"/>
    <w:rPr>
      <w:color w:val="808080"/>
    </w:rPr>
  </w:style>
  <w:style w:type="table" w:styleId="TableGrid">
    <w:name w:val="Table Grid"/>
    <w:basedOn w:val="TableNormal"/>
    <w:uiPriority w:val="1"/>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rsid w:val="002E7385"/>
    <w:rPr>
      <w:rFonts w:ascii="Tahoma" w:eastAsiaTheme="majorEastAsia" w:hAnsi="Tahoma" w:cstheme="majorBidi"/>
      <w:b/>
      <w:sz w:val="26"/>
      <w:szCs w:val="26"/>
    </w:rPr>
  </w:style>
  <w:style w:type="paragraph" w:styleId="ListBullet">
    <w:name w:val="List Bullet"/>
    <w:basedOn w:val="Normal"/>
    <w:link w:val="ListBulletChar"/>
    <w:autoRedefine/>
    <w:unhideWhenUsed/>
    <w:qFormat/>
    <w:rsid w:val="00CB3E20"/>
    <w:pPr>
      <w:numPr>
        <w:numId w:val="24"/>
      </w:numPr>
      <w:contextualSpacing/>
    </w:pPr>
  </w:style>
  <w:style w:type="paragraph" w:styleId="BalloonText">
    <w:name w:val="Balloon Text"/>
    <w:basedOn w:val="Normal"/>
    <w:link w:val="BalloonTextChar"/>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29"/>
      </w:numPr>
    </w:pPr>
  </w:style>
  <w:style w:type="paragraph" w:customStyle="1" w:styleId="Heading2numbered">
    <w:name w:val="Heading 2 numbered"/>
    <w:basedOn w:val="Heading2"/>
    <w:next w:val="Normal"/>
    <w:qFormat/>
    <w:rsid w:val="005F5578"/>
    <w:pPr>
      <w:ind w:left="1440" w:hanging="360"/>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autoRedefine/>
    <w:unhideWhenUsed/>
    <w:qFormat/>
    <w:rsid w:val="00A45359"/>
    <w:pPr>
      <w:numPr>
        <w:numId w:val="19"/>
      </w:numPr>
      <w:ind w:left="568" w:hanging="284"/>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qFormat/>
    <w:rsid w:val="00C753B8"/>
    <w:pPr>
      <w:spacing w:before="240" w:after="240"/>
      <w:ind w:left="567"/>
    </w:pPr>
    <w:rPr>
      <w:iCs/>
      <w:color w:val="4986A0" w:themeColor="text2"/>
    </w:rPr>
  </w:style>
  <w:style w:type="character" w:customStyle="1" w:styleId="QuoteChar">
    <w:name w:val="Quote Char"/>
    <w:basedOn w:val="DefaultParagraphFont"/>
    <w:link w:val="Quote"/>
    <w:rsid w:val="00C753B8"/>
    <w:rPr>
      <w:iCs/>
      <w:color w:val="4986A0" w:themeColor="text2"/>
    </w:rPr>
  </w:style>
  <w:style w:type="paragraph" w:styleId="NoSpacing">
    <w:name w:val="No Spacing"/>
    <w:link w:val="NoSpacingChar"/>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41363"/>
    <w:pPr>
      <w:ind w:left="426" w:hanging="425"/>
    </w:pPr>
    <w:rPr>
      <w:bCs/>
      <w:noProof/>
    </w:rPr>
  </w:style>
  <w:style w:type="paragraph" w:styleId="TOC1">
    <w:name w:val="toc 1"/>
    <w:basedOn w:val="Normal"/>
    <w:next w:val="Normal"/>
    <w:autoRedefine/>
    <w:uiPriority w:val="39"/>
    <w:rsid w:val="00016352"/>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qFormat/>
    <w:rsid w:val="00DC2B59"/>
    <w:pPr>
      <w:numPr>
        <w:ilvl w:val="2"/>
        <w:numId w:val="1"/>
      </w:numPr>
      <w:contextualSpacing/>
    </w:pPr>
  </w:style>
  <w:style w:type="paragraph" w:styleId="ListBullet3">
    <w:name w:val="List Bullet 3"/>
    <w:basedOn w:val="Normal"/>
    <w:unhideWhenUsed/>
    <w:qFormat/>
    <w:rsid w:val="00DC2B59"/>
    <w:pPr>
      <w:tabs>
        <w:tab w:val="num" w:pos="926"/>
      </w:tabs>
      <w:ind w:left="926" w:hanging="360"/>
      <w:contextualSpacing/>
    </w:pPr>
  </w:style>
  <w:style w:type="paragraph" w:styleId="ListNumber">
    <w:name w:val="List Number"/>
    <w:basedOn w:val="Normal"/>
    <w:unhideWhenUsed/>
    <w:qFormat/>
    <w:rsid w:val="006F29EA"/>
    <w:pPr>
      <w:tabs>
        <w:tab w:val="num" w:pos="360"/>
      </w:tabs>
      <w:ind w:left="360" w:hanging="360"/>
      <w:contextualSpacing/>
    </w:pPr>
  </w:style>
  <w:style w:type="paragraph" w:styleId="ListNumber2">
    <w:name w:val="List Number 2"/>
    <w:basedOn w:val="Normal"/>
    <w:unhideWhenUsed/>
    <w:qFormat/>
    <w:rsid w:val="006F29EA"/>
    <w:pPr>
      <w:tabs>
        <w:tab w:val="num" w:pos="340"/>
      </w:tabs>
      <w:ind w:left="340" w:hanging="340"/>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spacing w:line="336" w:lineRule="auto"/>
      <w:ind w:left="113"/>
      <w:contextualSpacing/>
    </w:pPr>
  </w:style>
  <w:style w:type="paragraph" w:styleId="ListNumber3">
    <w:name w:val="List Number 3"/>
    <w:basedOn w:val="Normal"/>
    <w:link w:val="ListNumber3Char"/>
    <w:unhideWhenUsed/>
    <w:qFormat/>
    <w:rsid w:val="006F29EA"/>
    <w:pPr>
      <w:ind w:left="340" w:hanging="340"/>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38265C"/>
    <w:pPr>
      <w:ind w:left="851" w:hanging="426"/>
    </w:pPr>
    <w:rPr>
      <w:b w:val="0"/>
      <w:bCs w:val="0"/>
      <w:lang w:val="en-GB" w:eastAsia="zh-CN"/>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17"/>
      </w:numPr>
      <w:spacing w:after="0"/>
    </w:pPr>
  </w:style>
  <w:style w:type="character" w:customStyle="1" w:styleId="ListBulletChar">
    <w:name w:val="List Bullet Char"/>
    <w:basedOn w:val="DefaultParagraphFont"/>
    <w:link w:val="ListBullet"/>
    <w:rsid w:val="00B83121"/>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rsid w:val="00210811"/>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aliases w:val="(NECG) Footnote Text"/>
    <w:basedOn w:val="Normal"/>
    <w:link w:val="FootnoteTextChar"/>
    <w:unhideWhenUsed/>
    <w:rsid w:val="00CF33F6"/>
    <w:pPr>
      <w:spacing w:after="0" w:line="240" w:lineRule="auto"/>
    </w:pPr>
    <w:rPr>
      <w:sz w:val="18"/>
      <w:szCs w:val="20"/>
    </w:rPr>
  </w:style>
  <w:style w:type="character" w:customStyle="1" w:styleId="FootnoteTextChar">
    <w:name w:val="Footnote Text Char"/>
    <w:aliases w:val="(NECG) Footnote Text Char"/>
    <w:basedOn w:val="DefaultParagraphFont"/>
    <w:link w:val="FootnoteText"/>
    <w:rsid w:val="00CF33F6"/>
    <w:rPr>
      <w:sz w:val="18"/>
      <w:szCs w:val="20"/>
    </w:rPr>
  </w:style>
  <w:style w:type="character" w:styleId="FootnoteReference">
    <w:name w:val="footnote reference"/>
    <w:aliases w:val="(NECG) 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ind w:left="2880" w:hanging="360"/>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2160" w:hanging="360"/>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autoRedefine/>
    <w:qFormat/>
    <w:rsid w:val="00A01678"/>
    <w:pPr>
      <w:numPr>
        <w:numId w:val="28"/>
      </w:numPr>
      <w:ind w:left="482" w:hanging="284"/>
    </w:pPr>
  </w:style>
  <w:style w:type="paragraph" w:customStyle="1" w:styleId="Pull-outBullet2">
    <w:name w:val="Pull-out Bullet 2"/>
    <w:basedOn w:val="Pull-outBullet1"/>
    <w:qFormat/>
    <w:rsid w:val="00BD19DB"/>
    <w:pPr>
      <w:ind w:left="720" w:hanging="360"/>
    </w:pPr>
  </w:style>
  <w:style w:type="paragraph" w:customStyle="1" w:styleId="Pull-outListNumber1">
    <w:name w:val="Pull-out List Number 1"/>
    <w:basedOn w:val="Pull-outBullet2"/>
    <w:qFormat/>
    <w:rsid w:val="00BD19DB"/>
    <w:pPr>
      <w:ind w:left="1080"/>
    </w:pPr>
  </w:style>
  <w:style w:type="paragraph" w:customStyle="1" w:styleId="Pull-outListNumber2">
    <w:name w:val="Pull-out List Number 2"/>
    <w:basedOn w:val="Pull-outListNumber1"/>
    <w:qFormat/>
    <w:rsid w:val="00BD19DB"/>
    <w:pPr>
      <w:ind w:left="1440"/>
    </w:pPr>
  </w:style>
  <w:style w:type="numbering" w:customStyle="1" w:styleId="Pull-outlists">
    <w:name w:val="Pull-out lists"/>
    <w:uiPriority w:val="99"/>
    <w:rsid w:val="00BD19DB"/>
  </w:style>
  <w:style w:type="paragraph" w:styleId="TOC4">
    <w:name w:val="toc 4"/>
    <w:basedOn w:val="Normal"/>
    <w:next w:val="Normal"/>
    <w:autoRedefine/>
    <w:uiPriority w:val="39"/>
    <w:rsid w:val="00720588"/>
    <w:pPr>
      <w:tabs>
        <w:tab w:val="right" w:pos="9582"/>
      </w:tabs>
      <w:adjustRightInd w:val="0"/>
      <w:spacing w:before="40" w:after="40" w:line="288" w:lineRule="auto"/>
      <w:ind w:right="567" w:firstLine="426"/>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A543A5"/>
    <w:pPr>
      <w:tabs>
        <w:tab w:val="left" w:pos="1702"/>
        <w:tab w:val="right" w:pos="9582"/>
      </w:tabs>
      <w:spacing w:before="40" w:after="40" w:line="288" w:lineRule="auto"/>
      <w:ind w:left="851" w:right="567"/>
      <w:contextualSpacing/>
    </w:pPr>
  </w:style>
  <w:style w:type="paragraph" w:styleId="TOC6">
    <w:name w:val="toc 6"/>
    <w:basedOn w:val="Normal"/>
    <w:next w:val="Normal"/>
    <w:autoRedefine/>
    <w:uiPriority w:val="39"/>
    <w:rsid w:val="00936B74"/>
    <w:pPr>
      <w:tabs>
        <w:tab w:val="right" w:pos="9582"/>
      </w:tabs>
      <w:spacing w:before="40" w:after="40" w:line="288" w:lineRule="auto"/>
      <w:ind w:left="1702" w:right="567" w:hanging="851"/>
    </w:pPr>
  </w:style>
  <w:style w:type="character" w:customStyle="1" w:styleId="Heading5Char">
    <w:name w:val="Heading 5 Char"/>
    <w:basedOn w:val="DefaultParagraphFont"/>
    <w:link w:val="Heading5"/>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styleId="CommentReference">
    <w:name w:val="annotation reference"/>
    <w:basedOn w:val="DefaultParagraphFont"/>
    <w:unhideWhenUsed/>
    <w:rsid w:val="00244D10"/>
    <w:rPr>
      <w:sz w:val="16"/>
      <w:szCs w:val="16"/>
    </w:rPr>
  </w:style>
  <w:style w:type="paragraph" w:styleId="CommentText">
    <w:name w:val="annotation text"/>
    <w:basedOn w:val="Normal"/>
    <w:link w:val="CommentTextChar"/>
    <w:unhideWhenUsed/>
    <w:rsid w:val="00244D10"/>
    <w:pPr>
      <w:spacing w:line="240" w:lineRule="auto"/>
    </w:pPr>
    <w:rPr>
      <w:sz w:val="20"/>
      <w:szCs w:val="20"/>
    </w:rPr>
  </w:style>
  <w:style w:type="character" w:customStyle="1" w:styleId="CommentTextChar">
    <w:name w:val="Comment Text Char"/>
    <w:basedOn w:val="DefaultParagraphFont"/>
    <w:link w:val="CommentText"/>
    <w:rsid w:val="00244D10"/>
    <w:rPr>
      <w:sz w:val="20"/>
      <w:szCs w:val="20"/>
      <w:lang w:val="en-AU"/>
    </w:rPr>
  </w:style>
  <w:style w:type="paragraph" w:styleId="CommentSubject">
    <w:name w:val="annotation subject"/>
    <w:basedOn w:val="CommentText"/>
    <w:next w:val="CommentText"/>
    <w:link w:val="CommentSubjectChar"/>
    <w:semiHidden/>
    <w:unhideWhenUsed/>
    <w:rsid w:val="00244D10"/>
    <w:rPr>
      <w:b/>
      <w:bCs/>
    </w:rPr>
  </w:style>
  <w:style w:type="character" w:customStyle="1" w:styleId="CommentSubjectChar">
    <w:name w:val="Comment Subject Char"/>
    <w:basedOn w:val="CommentTextChar"/>
    <w:link w:val="CommentSubject"/>
    <w:semiHidden/>
    <w:rsid w:val="00244D10"/>
    <w:rPr>
      <w:b/>
      <w:bCs/>
      <w:sz w:val="20"/>
      <w:szCs w:val="20"/>
      <w:lang w:val="en-AU"/>
    </w:rPr>
  </w:style>
  <w:style w:type="paragraph" w:styleId="Revision">
    <w:name w:val="Revision"/>
    <w:hidden/>
    <w:uiPriority w:val="99"/>
    <w:semiHidden/>
    <w:rsid w:val="00F62DDB"/>
    <w:pPr>
      <w:spacing w:after="0" w:line="240" w:lineRule="auto"/>
    </w:pPr>
    <w:rPr>
      <w:lang w:val="en-AU"/>
    </w:rPr>
  </w:style>
  <w:style w:type="character" w:styleId="UnresolvedMention">
    <w:name w:val="Unresolved Mention"/>
    <w:basedOn w:val="DefaultParagraphFont"/>
    <w:uiPriority w:val="99"/>
    <w:semiHidden/>
    <w:unhideWhenUsed/>
    <w:rsid w:val="00AA2D94"/>
    <w:rPr>
      <w:color w:val="605E5C"/>
      <w:shd w:val="clear" w:color="auto" w:fill="E1DFDD"/>
    </w:rPr>
  </w:style>
  <w:style w:type="numbering" w:customStyle="1" w:styleId="Pull-outlists1">
    <w:name w:val="Pull-out lists1"/>
    <w:uiPriority w:val="99"/>
    <w:rsid w:val="00AA2D94"/>
  </w:style>
  <w:style w:type="character" w:styleId="Mention">
    <w:name w:val="Mention"/>
    <w:basedOn w:val="DefaultParagraphFont"/>
    <w:uiPriority w:val="99"/>
    <w:unhideWhenUsed/>
    <w:rsid w:val="00AA2D94"/>
    <w:rPr>
      <w:color w:val="2B579A"/>
      <w:shd w:val="clear" w:color="auto" w:fill="E1DFDD"/>
    </w:rPr>
  </w:style>
  <w:style w:type="character" w:styleId="FollowedHyperlink">
    <w:name w:val="FollowedHyperlink"/>
    <w:basedOn w:val="DefaultParagraphFont"/>
    <w:uiPriority w:val="99"/>
    <w:unhideWhenUsed/>
    <w:rsid w:val="00AA2D94"/>
    <w:rPr>
      <w:color w:val="000000" w:themeColor="followedHyperlink"/>
      <w:u w:val="single"/>
    </w:rPr>
  </w:style>
  <w:style w:type="character" w:customStyle="1" w:styleId="cf01">
    <w:name w:val="cf01"/>
    <w:basedOn w:val="DefaultParagraphFont"/>
    <w:rsid w:val="00E4302D"/>
    <w:rPr>
      <w:rFonts w:ascii="Segoe UI" w:hAnsi="Segoe UI" w:cs="Segoe UI" w:hint="default"/>
      <w:sz w:val="18"/>
      <w:szCs w:val="18"/>
    </w:rPr>
  </w:style>
  <w:style w:type="character" w:customStyle="1" w:styleId="Heading6Char">
    <w:name w:val="Heading 6 Char"/>
    <w:basedOn w:val="DefaultParagraphFont"/>
    <w:link w:val="Heading6"/>
    <w:rsid w:val="006566D4"/>
    <w:rPr>
      <w:rFonts w:asciiTheme="majorHAnsi" w:eastAsiaTheme="majorEastAsia" w:hAnsiTheme="majorHAnsi" w:cstheme="majorBidi"/>
      <w:i/>
      <w:iCs/>
      <w:color w:val="000000" w:themeColor="text1"/>
      <w:spacing w:val="3"/>
      <w:sz w:val="23"/>
      <w:szCs w:val="21"/>
      <w:lang w:val="en-AU"/>
    </w:rPr>
  </w:style>
  <w:style w:type="character" w:customStyle="1" w:styleId="Heading7Char">
    <w:name w:val="Heading 7 Char"/>
    <w:basedOn w:val="DefaultParagraphFont"/>
    <w:link w:val="Heading7"/>
    <w:semiHidden/>
    <w:rsid w:val="006566D4"/>
    <w:rPr>
      <w:rFonts w:asciiTheme="majorHAnsi" w:eastAsiaTheme="majorEastAsia" w:hAnsiTheme="majorHAnsi" w:cstheme="majorBidi"/>
      <w:b/>
      <w:iCs/>
      <w:color w:val="000000" w:themeColor="text1"/>
      <w:spacing w:val="2"/>
      <w:sz w:val="21"/>
      <w:szCs w:val="21"/>
      <w:lang w:val="en-AU" w:eastAsia="en-AU"/>
    </w:rPr>
  </w:style>
  <w:style w:type="character" w:customStyle="1" w:styleId="Heading8Char">
    <w:name w:val="Heading 8 Char"/>
    <w:aliases w:val="Appendix Title Char"/>
    <w:basedOn w:val="DefaultParagraphFont"/>
    <w:link w:val="Heading8"/>
    <w:uiPriority w:val="2"/>
    <w:rsid w:val="006566D4"/>
    <w:rPr>
      <w:rFonts w:asciiTheme="majorHAnsi" w:eastAsiaTheme="majorEastAsia" w:hAnsiTheme="majorHAnsi" w:cstheme="majorBidi"/>
      <w:b/>
      <w:caps/>
      <w:color w:val="4986A0" w:themeColor="text2"/>
      <w:spacing w:val="2"/>
      <w:sz w:val="28"/>
      <w:szCs w:val="21"/>
      <w:lang w:val="en-AU"/>
    </w:rPr>
  </w:style>
  <w:style w:type="character" w:customStyle="1" w:styleId="Heading9Char">
    <w:name w:val="Heading 9 Char"/>
    <w:aliases w:val="Appendix Heading 1 Char"/>
    <w:basedOn w:val="DefaultParagraphFont"/>
    <w:link w:val="Heading9"/>
    <w:uiPriority w:val="2"/>
    <w:rsid w:val="006566D4"/>
    <w:rPr>
      <w:rFonts w:asciiTheme="majorHAnsi" w:eastAsia="Times New Roman" w:hAnsiTheme="majorHAnsi" w:cs="Arial"/>
      <w:b/>
      <w:color w:val="4986A0" w:themeColor="text2"/>
      <w:spacing w:val="2"/>
      <w:sz w:val="25"/>
      <w:szCs w:val="21"/>
      <w:lang w:val="en-AU"/>
    </w:rPr>
  </w:style>
  <w:style w:type="paragraph" w:styleId="BodyText">
    <w:name w:val="Body Text"/>
    <w:basedOn w:val="Normal"/>
    <w:link w:val="BodyTextChar"/>
    <w:qFormat/>
    <w:rsid w:val="006566D4"/>
    <w:pPr>
      <w:tabs>
        <w:tab w:val="left" w:pos="2268"/>
        <w:tab w:val="left" w:pos="4536"/>
        <w:tab w:val="left" w:pos="6804"/>
        <w:tab w:val="right" w:pos="8789"/>
      </w:tabs>
      <w:spacing w:before="180" w:after="70" w:line="280" w:lineRule="atLeast"/>
    </w:pPr>
    <w:rPr>
      <w:rFonts w:ascii="Garamond" w:eastAsia="Times New Roman" w:hAnsi="Garamond" w:cs="Times New Roman"/>
      <w:color w:val="000000" w:themeColor="text1"/>
      <w:spacing w:val="2"/>
      <w:sz w:val="21"/>
      <w:szCs w:val="21"/>
      <w:lang w:eastAsia="en-AU"/>
    </w:rPr>
  </w:style>
  <w:style w:type="character" w:customStyle="1" w:styleId="BodyTextChar">
    <w:name w:val="Body Text Char"/>
    <w:basedOn w:val="DefaultParagraphFont"/>
    <w:link w:val="BodyText"/>
    <w:rsid w:val="006566D4"/>
    <w:rPr>
      <w:rFonts w:ascii="Garamond" w:eastAsia="Times New Roman" w:hAnsi="Garamond" w:cs="Times New Roman"/>
      <w:color w:val="000000" w:themeColor="text1"/>
      <w:spacing w:val="2"/>
      <w:sz w:val="21"/>
      <w:szCs w:val="21"/>
      <w:lang w:val="en-AU" w:eastAsia="en-AU"/>
    </w:rPr>
  </w:style>
  <w:style w:type="character" w:customStyle="1" w:styleId="Bold">
    <w:name w:val="Bold"/>
    <w:uiPriority w:val="1"/>
    <w:qFormat/>
    <w:rsid w:val="006566D4"/>
    <w:rPr>
      <w:b/>
    </w:rPr>
  </w:style>
  <w:style w:type="paragraph" w:styleId="BlockText">
    <w:name w:val="Block Text"/>
    <w:basedOn w:val="BodyText"/>
    <w:semiHidden/>
    <w:unhideWhenUsed/>
    <w:rsid w:val="006566D4"/>
    <w:rPr>
      <w:rFonts w:eastAsiaTheme="minorEastAsia" w:cstheme="minorBidi"/>
      <w:iCs/>
    </w:rPr>
  </w:style>
  <w:style w:type="numbering" w:customStyle="1" w:styleId="HangingList">
    <w:name w:val="HangingList"/>
    <w:uiPriority w:val="99"/>
    <w:rsid w:val="00F43520"/>
    <w:pPr>
      <w:numPr>
        <w:numId w:val="39"/>
      </w:numPr>
    </w:pPr>
  </w:style>
  <w:style w:type="paragraph" w:customStyle="1" w:styleId="AppendixHeading2">
    <w:name w:val="Appendix Heading 2"/>
    <w:basedOn w:val="Normal"/>
    <w:next w:val="BodyText"/>
    <w:uiPriority w:val="2"/>
    <w:qFormat/>
    <w:rsid w:val="006566D4"/>
    <w:pPr>
      <w:numPr>
        <w:ilvl w:val="2"/>
        <w:numId w:val="7"/>
      </w:numPr>
      <w:tabs>
        <w:tab w:val="right" w:pos="9639"/>
      </w:tabs>
      <w:spacing w:before="240" w:after="70" w:line="290" w:lineRule="atLeast"/>
    </w:pPr>
    <w:rPr>
      <w:rFonts w:asciiTheme="majorHAnsi" w:eastAsia="Times New Roman" w:hAnsiTheme="majorHAnsi" w:cs="Times New Roman"/>
      <w:color w:val="CE0058" w:themeColor="accent2"/>
      <w:spacing w:val="2"/>
      <w:sz w:val="25"/>
      <w:szCs w:val="21"/>
    </w:rPr>
  </w:style>
  <w:style w:type="paragraph" w:customStyle="1" w:styleId="AppendixHeading3">
    <w:name w:val="Appendix Heading 3"/>
    <w:basedOn w:val="Normal"/>
    <w:next w:val="BodyText"/>
    <w:uiPriority w:val="2"/>
    <w:qFormat/>
    <w:rsid w:val="006566D4"/>
    <w:pPr>
      <w:numPr>
        <w:ilvl w:val="3"/>
        <w:numId w:val="7"/>
      </w:numPr>
      <w:tabs>
        <w:tab w:val="left" w:pos="6804"/>
        <w:tab w:val="right" w:pos="9639"/>
      </w:tabs>
      <w:spacing w:before="240" w:after="70" w:line="280" w:lineRule="atLeast"/>
    </w:pPr>
    <w:rPr>
      <w:rFonts w:asciiTheme="majorHAnsi" w:eastAsia="Times New Roman" w:hAnsiTheme="majorHAnsi" w:cs="Times New Roman"/>
      <w:color w:val="5E6781"/>
      <w:spacing w:val="2"/>
      <w:sz w:val="25"/>
      <w:szCs w:val="21"/>
    </w:rPr>
  </w:style>
  <w:style w:type="character" w:customStyle="1" w:styleId="Italics">
    <w:name w:val="Italics"/>
    <w:semiHidden/>
    <w:rsid w:val="006566D4"/>
    <w:rPr>
      <w:i/>
      <w:lang w:eastAsia="en-US"/>
    </w:rPr>
  </w:style>
  <w:style w:type="numbering" w:customStyle="1" w:styleId="Headings">
    <w:name w:val="Headings"/>
    <w:uiPriority w:val="99"/>
    <w:rsid w:val="00F43520"/>
    <w:pPr>
      <w:numPr>
        <w:numId w:val="16"/>
      </w:numPr>
    </w:pPr>
  </w:style>
  <w:style w:type="paragraph" w:styleId="ListContinue">
    <w:name w:val="List Continue"/>
    <w:basedOn w:val="Normal"/>
    <w:rsid w:val="006566D4"/>
    <w:pPr>
      <w:spacing w:before="200" w:after="200" w:line="280" w:lineRule="atLeast"/>
      <w:ind w:left="425"/>
    </w:pPr>
    <w:rPr>
      <w:rFonts w:ascii="Garamond" w:eastAsia="Times New Roman" w:hAnsi="Garamond" w:cs="Times New Roman"/>
      <w:color w:val="000000" w:themeColor="text1"/>
      <w:spacing w:val="2"/>
      <w:sz w:val="21"/>
      <w:szCs w:val="21"/>
      <w:lang w:eastAsia="en-AU"/>
    </w:rPr>
  </w:style>
  <w:style w:type="numbering" w:customStyle="1" w:styleId="MyListNumbering">
    <w:name w:val="MyListNumbering"/>
    <w:uiPriority w:val="99"/>
    <w:rsid w:val="00F43520"/>
    <w:pPr>
      <w:numPr>
        <w:numId w:val="13"/>
      </w:numPr>
    </w:pPr>
  </w:style>
  <w:style w:type="paragraph" w:customStyle="1" w:styleId="TableTextLeft">
    <w:name w:val="Table Text Left"/>
    <w:basedOn w:val="Normal"/>
    <w:qFormat/>
    <w:rsid w:val="006566D4"/>
    <w:pPr>
      <w:spacing w:before="60" w:after="60" w:line="260" w:lineRule="atLeast"/>
    </w:pPr>
    <w:rPr>
      <w:rFonts w:asciiTheme="majorHAnsi" w:eastAsia="Times New Roman" w:hAnsiTheme="majorHAnsi" w:cs="Times New Roman"/>
      <w:color w:val="000000" w:themeColor="text1"/>
      <w:spacing w:val="2"/>
      <w:sz w:val="20"/>
      <w:szCs w:val="21"/>
      <w:lang w:eastAsia="en-AU"/>
    </w:rPr>
  </w:style>
  <w:style w:type="paragraph" w:customStyle="1" w:styleId="Footnotes">
    <w:name w:val="Footnotes"/>
    <w:basedOn w:val="Normal"/>
    <w:rsid w:val="00F43520"/>
    <w:pPr>
      <w:numPr>
        <w:ilvl w:val="1"/>
        <w:numId w:val="31"/>
      </w:numPr>
      <w:spacing w:before="120" w:after="240" w:line="180" w:lineRule="atLeast"/>
      <w:contextualSpacing/>
    </w:pPr>
    <w:rPr>
      <w:rFonts w:ascii="Garamond" w:eastAsia="Times New Roman" w:hAnsi="Garamond" w:cs="Times New Roman"/>
      <w:color w:val="000000" w:themeColor="text1"/>
      <w:spacing w:val="2"/>
      <w:sz w:val="18"/>
      <w:szCs w:val="21"/>
      <w:lang w:eastAsia="en-AU"/>
    </w:rPr>
  </w:style>
  <w:style w:type="paragraph" w:customStyle="1" w:styleId="TableHeadingLeft">
    <w:name w:val="Table Heading Left"/>
    <w:basedOn w:val="TableTextLeft"/>
    <w:qFormat/>
    <w:rsid w:val="006566D4"/>
    <w:pPr>
      <w:keepNext/>
    </w:pPr>
    <w:rPr>
      <w:b/>
      <w:color w:val="auto"/>
    </w:rPr>
  </w:style>
  <w:style w:type="paragraph" w:customStyle="1" w:styleId="TableBullet3">
    <w:name w:val="Table Bullet 3"/>
    <w:basedOn w:val="TableBullet2"/>
    <w:qFormat/>
    <w:rsid w:val="006566D4"/>
    <w:pPr>
      <w:spacing w:before="60" w:after="60" w:line="260" w:lineRule="atLeast"/>
      <w:contextualSpacing w:val="0"/>
    </w:pPr>
    <w:rPr>
      <w:rFonts w:asciiTheme="majorHAnsi" w:eastAsia="Times New Roman" w:hAnsiTheme="majorHAnsi" w:cs="Times New Roman"/>
      <w:color w:val="000000" w:themeColor="text1"/>
      <w:spacing w:val="2"/>
      <w:sz w:val="20"/>
      <w:szCs w:val="21"/>
      <w:lang w:eastAsia="en-AU"/>
    </w:rPr>
  </w:style>
  <w:style w:type="paragraph" w:customStyle="1" w:styleId="TableListNumber3">
    <w:name w:val="Table List Number 3"/>
    <w:basedOn w:val="TableListNumber2"/>
    <w:qFormat/>
    <w:rsid w:val="006566D4"/>
    <w:pPr>
      <w:numPr>
        <w:ilvl w:val="0"/>
        <w:numId w:val="0"/>
      </w:numPr>
      <w:spacing w:before="60" w:after="60" w:line="260" w:lineRule="atLeast"/>
      <w:ind w:left="1020" w:hanging="340"/>
      <w:contextualSpacing w:val="0"/>
    </w:pPr>
    <w:rPr>
      <w:rFonts w:asciiTheme="majorHAnsi" w:eastAsia="Times New Roman" w:hAnsiTheme="majorHAnsi" w:cs="Times New Roman"/>
      <w:color w:val="000000" w:themeColor="text1"/>
      <w:spacing w:val="2"/>
      <w:sz w:val="20"/>
      <w:szCs w:val="21"/>
      <w:lang w:eastAsia="en-AU"/>
    </w:rPr>
  </w:style>
  <w:style w:type="paragraph" w:styleId="TableofFigures">
    <w:name w:val="table of figures"/>
    <w:basedOn w:val="Normal"/>
    <w:next w:val="Normal"/>
    <w:uiPriority w:val="99"/>
    <w:rsid w:val="006566D4"/>
    <w:pPr>
      <w:tabs>
        <w:tab w:val="right" w:pos="8845"/>
      </w:tabs>
      <w:spacing w:before="0" w:after="0" w:line="280" w:lineRule="atLeast"/>
      <w:ind w:right="567"/>
    </w:pPr>
    <w:rPr>
      <w:rFonts w:asciiTheme="majorHAnsi" w:eastAsia="Times New Roman" w:hAnsiTheme="majorHAnsi" w:cs="Times New Roman"/>
      <w:noProof/>
      <w:color w:val="CE0058" w:themeColor="accent2"/>
      <w:spacing w:val="3"/>
      <w:szCs w:val="21"/>
      <w:lang w:eastAsia="en-AU"/>
    </w:rPr>
  </w:style>
  <w:style w:type="numbering" w:customStyle="1" w:styleId="TableBullets0">
    <w:name w:val="TableBullets"/>
    <w:uiPriority w:val="99"/>
    <w:rsid w:val="00F43520"/>
    <w:pPr>
      <w:numPr>
        <w:numId w:val="9"/>
      </w:numPr>
    </w:pPr>
  </w:style>
  <w:style w:type="numbering" w:customStyle="1" w:styleId="TableFootnotes">
    <w:name w:val="TableFootnotes"/>
    <w:uiPriority w:val="99"/>
    <w:rsid w:val="00F43520"/>
    <w:pPr>
      <w:numPr>
        <w:numId w:val="7"/>
      </w:numPr>
    </w:pPr>
  </w:style>
  <w:style w:type="numbering" w:customStyle="1" w:styleId="TableNumbering">
    <w:name w:val="TableNumbering"/>
    <w:uiPriority w:val="99"/>
    <w:rsid w:val="00F43520"/>
    <w:pPr>
      <w:numPr>
        <w:numId w:val="38"/>
      </w:numPr>
    </w:pPr>
  </w:style>
  <w:style w:type="paragraph" w:styleId="NormalWeb">
    <w:name w:val="Normal (Web)"/>
    <w:basedOn w:val="Normal"/>
    <w:uiPriority w:val="99"/>
    <w:rsid w:val="006566D4"/>
    <w:pPr>
      <w:spacing w:before="0" w:after="0" w:line="280" w:lineRule="atLeast"/>
    </w:pPr>
    <w:rPr>
      <w:rFonts w:ascii="Garamond" w:eastAsia="Times New Roman" w:hAnsi="Garamond" w:cs="Times New Roman"/>
      <w:color w:val="000000" w:themeColor="text1"/>
      <w:spacing w:val="2"/>
      <w:sz w:val="21"/>
      <w:szCs w:val="24"/>
      <w:lang w:eastAsia="en-AU"/>
    </w:rPr>
  </w:style>
  <w:style w:type="paragraph" w:styleId="Date">
    <w:name w:val="Date"/>
    <w:basedOn w:val="Normal"/>
    <w:next w:val="Normal"/>
    <w:link w:val="DateChar"/>
    <w:rsid w:val="006566D4"/>
    <w:pPr>
      <w:spacing w:before="480" w:after="600" w:line="280" w:lineRule="atLeast"/>
    </w:pPr>
    <w:rPr>
      <w:rFonts w:ascii="Garamond" w:eastAsia="Times New Roman" w:hAnsi="Garamond" w:cs="Times New Roman"/>
      <w:color w:val="000000" w:themeColor="text1"/>
      <w:spacing w:val="2"/>
      <w:sz w:val="21"/>
      <w:szCs w:val="21"/>
      <w:lang w:eastAsia="en-AU"/>
    </w:rPr>
  </w:style>
  <w:style w:type="character" w:customStyle="1" w:styleId="DateChar">
    <w:name w:val="Date Char"/>
    <w:basedOn w:val="DefaultParagraphFont"/>
    <w:link w:val="Date"/>
    <w:rsid w:val="006566D4"/>
    <w:rPr>
      <w:rFonts w:ascii="Garamond" w:eastAsia="Times New Roman" w:hAnsi="Garamond" w:cs="Times New Roman"/>
      <w:color w:val="000000" w:themeColor="text1"/>
      <w:spacing w:val="2"/>
      <w:sz w:val="21"/>
      <w:szCs w:val="21"/>
      <w:lang w:val="en-AU" w:eastAsia="en-AU"/>
    </w:rPr>
  </w:style>
  <w:style w:type="paragraph" w:styleId="ListContinue2">
    <w:name w:val="List Continue 2"/>
    <w:basedOn w:val="Normal"/>
    <w:rsid w:val="006566D4"/>
    <w:pPr>
      <w:spacing w:before="200" w:after="200" w:line="280" w:lineRule="atLeast"/>
      <w:ind w:left="851"/>
    </w:pPr>
    <w:rPr>
      <w:rFonts w:ascii="Garamond" w:eastAsia="Times New Roman" w:hAnsi="Garamond" w:cs="Times New Roman"/>
      <w:color w:val="000000" w:themeColor="text1"/>
      <w:spacing w:val="2"/>
      <w:sz w:val="21"/>
      <w:szCs w:val="21"/>
      <w:lang w:eastAsia="en-AU"/>
    </w:rPr>
  </w:style>
  <w:style w:type="paragraph" w:styleId="ListContinue3">
    <w:name w:val="List Continue 3"/>
    <w:basedOn w:val="Normal"/>
    <w:rsid w:val="006566D4"/>
    <w:pPr>
      <w:spacing w:before="200" w:after="200" w:line="280" w:lineRule="atLeast"/>
      <w:ind w:left="1276"/>
    </w:pPr>
    <w:rPr>
      <w:rFonts w:ascii="Garamond" w:eastAsia="Times New Roman" w:hAnsi="Garamond" w:cs="Times New Roman"/>
      <w:color w:val="000000" w:themeColor="text1"/>
      <w:spacing w:val="2"/>
      <w:sz w:val="21"/>
      <w:szCs w:val="21"/>
      <w:lang w:eastAsia="en-AU"/>
    </w:rPr>
  </w:style>
  <w:style w:type="paragraph" w:customStyle="1" w:styleId="TableTextLeftBold">
    <w:name w:val="Table Text Left Bold"/>
    <w:basedOn w:val="TableTextLeft"/>
    <w:qFormat/>
    <w:rsid w:val="006566D4"/>
    <w:rPr>
      <w:b/>
    </w:rPr>
  </w:style>
  <w:style w:type="paragraph" w:customStyle="1" w:styleId="TableofFiguresHeading">
    <w:name w:val="Table of Figures Heading"/>
    <w:basedOn w:val="Normal"/>
    <w:uiPriority w:val="99"/>
    <w:rsid w:val="006566D4"/>
    <w:pPr>
      <w:keepNext/>
      <w:spacing w:before="80" w:after="70" w:line="290" w:lineRule="atLeast"/>
    </w:pPr>
    <w:rPr>
      <w:rFonts w:asciiTheme="majorHAnsi" w:eastAsia="Times New Roman" w:hAnsiTheme="majorHAnsi" w:cs="Times New Roman"/>
      <w:b/>
      <w:bCs/>
      <w:caps/>
      <w:noProof/>
      <w:color w:val="4986A0" w:themeColor="text2"/>
      <w:spacing w:val="2"/>
      <w:szCs w:val="21"/>
      <w:lang w:eastAsia="en-AU"/>
    </w:rPr>
  </w:style>
  <w:style w:type="paragraph" w:customStyle="1" w:styleId="QuoteHeading">
    <w:name w:val="Quote Heading"/>
    <w:basedOn w:val="Quote"/>
    <w:next w:val="Quote"/>
    <w:qFormat/>
    <w:rsid w:val="006566D4"/>
    <w:pPr>
      <w:keepNext/>
      <w:tabs>
        <w:tab w:val="left" w:pos="2009"/>
      </w:tabs>
      <w:spacing w:before="200" w:after="200" w:line="280" w:lineRule="atLeast"/>
      <w:ind w:left="312" w:right="567"/>
    </w:pPr>
    <w:rPr>
      <w:rFonts w:asciiTheme="majorHAnsi" w:eastAsia="Times New Roman" w:hAnsiTheme="majorHAnsi" w:cs="Times New Roman"/>
      <w:b/>
      <w:i/>
      <w:color w:val="CE0058" w:themeColor="accent2"/>
      <w:spacing w:val="3"/>
      <w:sz w:val="21"/>
      <w:szCs w:val="21"/>
      <w:lang w:eastAsia="en-AU"/>
    </w:rPr>
  </w:style>
  <w:style w:type="paragraph" w:customStyle="1" w:styleId="BoldHeading">
    <w:name w:val="Bold Heading"/>
    <w:basedOn w:val="Normal"/>
    <w:next w:val="BodyText"/>
    <w:qFormat/>
    <w:rsid w:val="006566D4"/>
    <w:pPr>
      <w:keepNext/>
      <w:spacing w:before="180" w:after="70" w:line="280" w:lineRule="atLeast"/>
    </w:pPr>
    <w:rPr>
      <w:rFonts w:ascii="Garamond" w:eastAsia="Times New Roman" w:hAnsi="Garamond" w:cs="Times New Roman"/>
      <w:b/>
      <w:color w:val="000000" w:themeColor="text1"/>
      <w:spacing w:val="2"/>
      <w:sz w:val="21"/>
      <w:szCs w:val="21"/>
      <w:lang w:eastAsia="en-AU"/>
    </w:rPr>
  </w:style>
  <w:style w:type="paragraph" w:customStyle="1" w:styleId="TableTextCentre">
    <w:name w:val="Table Text Centre"/>
    <w:basedOn w:val="TableTextLeft"/>
    <w:qFormat/>
    <w:rsid w:val="006566D4"/>
    <w:pPr>
      <w:jc w:val="center"/>
    </w:pPr>
  </w:style>
  <w:style w:type="paragraph" w:customStyle="1" w:styleId="TableHeadingCentre">
    <w:name w:val="Table Heading Centre"/>
    <w:basedOn w:val="TableHeadingLeft"/>
    <w:qFormat/>
    <w:rsid w:val="006566D4"/>
    <w:pPr>
      <w:jc w:val="center"/>
    </w:pPr>
  </w:style>
  <w:style w:type="paragraph" w:customStyle="1" w:styleId="TableTextRight">
    <w:name w:val="Table Text Right"/>
    <w:basedOn w:val="TableTextLeft"/>
    <w:qFormat/>
    <w:rsid w:val="006566D4"/>
    <w:pPr>
      <w:jc w:val="right"/>
    </w:pPr>
  </w:style>
  <w:style w:type="paragraph" w:customStyle="1" w:styleId="TableHeadingRight">
    <w:name w:val="Table Heading Right"/>
    <w:basedOn w:val="TableHeadingLeft"/>
    <w:qFormat/>
    <w:rsid w:val="006566D4"/>
    <w:pPr>
      <w:jc w:val="right"/>
    </w:pPr>
  </w:style>
  <w:style w:type="paragraph" w:customStyle="1" w:styleId="PullOutBoxBodyText">
    <w:name w:val="Pull Out Box Body Text"/>
    <w:basedOn w:val="Normal"/>
    <w:qFormat/>
    <w:rsid w:val="006566D4"/>
    <w:pPr>
      <w:spacing w:before="60" w:after="60" w:line="290" w:lineRule="atLeast"/>
      <w:ind w:right="113"/>
    </w:pPr>
    <w:rPr>
      <w:rFonts w:asciiTheme="majorHAnsi" w:eastAsia="Times New Roman" w:hAnsiTheme="majorHAnsi" w:cs="Times New Roman"/>
      <w:color w:val="000000" w:themeColor="text1"/>
      <w:spacing w:val="2"/>
      <w:sz w:val="21"/>
      <w:szCs w:val="21"/>
      <w:lang w:eastAsia="en-AU"/>
    </w:rPr>
  </w:style>
  <w:style w:type="paragraph" w:customStyle="1" w:styleId="PullOutBoxBullet">
    <w:name w:val="Pull Out Box Bullet"/>
    <w:basedOn w:val="PullOutBoxBodyText"/>
    <w:qFormat/>
    <w:rsid w:val="00551FF1"/>
    <w:pPr>
      <w:numPr>
        <w:numId w:val="33"/>
      </w:numPr>
    </w:pPr>
    <w:rPr>
      <w:spacing w:val="3"/>
    </w:rPr>
  </w:style>
  <w:style w:type="paragraph" w:customStyle="1" w:styleId="PullOutBoxBullet2">
    <w:name w:val="Pull Out Box Bullet 2"/>
    <w:basedOn w:val="PullOutBoxBullet"/>
    <w:qFormat/>
    <w:rsid w:val="00551FF1"/>
    <w:pPr>
      <w:numPr>
        <w:ilvl w:val="1"/>
      </w:numPr>
    </w:pPr>
  </w:style>
  <w:style w:type="paragraph" w:customStyle="1" w:styleId="PullOutBoxBullet3">
    <w:name w:val="Pull Out Box Bullet 3"/>
    <w:basedOn w:val="PullOutBoxBodyText"/>
    <w:qFormat/>
    <w:rsid w:val="006566D4"/>
    <w:pPr>
      <w:numPr>
        <w:ilvl w:val="2"/>
        <w:numId w:val="33"/>
      </w:numPr>
    </w:pPr>
  </w:style>
  <w:style w:type="paragraph" w:customStyle="1" w:styleId="PullOutBoxHeading">
    <w:name w:val="Pull Out Box Heading"/>
    <w:basedOn w:val="PullOutBoxBodyText"/>
    <w:qFormat/>
    <w:rsid w:val="006566D4"/>
    <w:pPr>
      <w:keepNext/>
      <w:spacing w:before="120" w:line="240" w:lineRule="auto"/>
    </w:pPr>
    <w:rPr>
      <w:b/>
      <w:spacing w:val="6"/>
    </w:rPr>
  </w:style>
  <w:style w:type="paragraph" w:customStyle="1" w:styleId="PullOutBoxNumbered">
    <w:name w:val="Pull Out Box Numbered"/>
    <w:basedOn w:val="PullOutBoxBodyText"/>
    <w:qFormat/>
    <w:rsid w:val="00551FF1"/>
    <w:pPr>
      <w:numPr>
        <w:numId w:val="32"/>
      </w:numPr>
    </w:pPr>
  </w:style>
  <w:style w:type="paragraph" w:customStyle="1" w:styleId="PullOutBoxNumbered2">
    <w:name w:val="Pull Out Box Numbered 2"/>
    <w:basedOn w:val="PullOutBoxBodyText"/>
    <w:qFormat/>
    <w:rsid w:val="006566D4"/>
    <w:pPr>
      <w:numPr>
        <w:ilvl w:val="1"/>
        <w:numId w:val="32"/>
      </w:numPr>
      <w:tabs>
        <w:tab w:val="num" w:pos="340"/>
      </w:tabs>
    </w:pPr>
  </w:style>
  <w:style w:type="paragraph" w:customStyle="1" w:styleId="PullOutBoxNumbered3">
    <w:name w:val="Pull Out Box Numbered 3"/>
    <w:basedOn w:val="PullOutBoxBodyText"/>
    <w:qFormat/>
    <w:rsid w:val="006566D4"/>
    <w:pPr>
      <w:numPr>
        <w:ilvl w:val="2"/>
        <w:numId w:val="32"/>
      </w:numPr>
    </w:pPr>
  </w:style>
  <w:style w:type="table" w:customStyle="1" w:styleId="CaseStudy">
    <w:name w:val="Case Study"/>
    <w:basedOn w:val="TableNormal"/>
    <w:uiPriority w:val="99"/>
    <w:rsid w:val="006566D4"/>
    <w:pPr>
      <w:spacing w:before="60" w:after="60" w:line="290" w:lineRule="atLeast"/>
    </w:pPr>
    <w:rPr>
      <w:rFonts w:asciiTheme="majorHAnsi" w:eastAsia="Times New Roman" w:hAnsiTheme="majorHAnsi" w:cs="Times New Roman"/>
      <w:color w:val="CE0058" w:themeColor="accent2"/>
      <w:sz w:val="21"/>
      <w:szCs w:val="21"/>
      <w:lang w:val="en-AU" w:eastAsia="en-AU"/>
    </w:rPr>
    <w:tblPr>
      <w:tblCellMar>
        <w:top w:w="113" w:type="dxa"/>
        <w:left w:w="397" w:type="dxa"/>
        <w:bottom w:w="284" w:type="dxa"/>
        <w:right w:w="397" w:type="dxa"/>
      </w:tblCellMar>
    </w:tblPr>
    <w:tcPr>
      <w:shd w:val="clear" w:color="auto" w:fill="75787B" w:themeFill="background2"/>
    </w:tcPr>
    <w:tblStylePr w:type="firstRow">
      <w:pPr>
        <w:wordWrap/>
        <w:spacing w:beforeLines="0" w:before="0" w:beforeAutospacing="0" w:afterLines="0" w:after="0" w:afterAutospacing="0"/>
      </w:pPr>
      <w:rPr>
        <w:b/>
        <w:color w:val="FFFFFF" w:themeColor="background1"/>
      </w:rPr>
      <w:tblPr/>
      <w:trPr>
        <w:tblHeader/>
      </w:trPr>
      <w:tcPr>
        <w:shd w:val="clear" w:color="auto" w:fill="CE0058" w:themeFill="accent2"/>
        <w:tcMar>
          <w:top w:w="113" w:type="dxa"/>
          <w:left w:w="397" w:type="dxa"/>
          <w:bottom w:w="170" w:type="dxa"/>
          <w:right w:w="397" w:type="dxa"/>
        </w:tcMar>
      </w:tcPr>
    </w:tblStylePr>
  </w:style>
  <w:style w:type="paragraph" w:customStyle="1" w:styleId="Heading1NoNumbering">
    <w:name w:val="Heading 1 No Numbering"/>
    <w:basedOn w:val="Heading1"/>
    <w:next w:val="BodyText"/>
    <w:qFormat/>
    <w:rsid w:val="006566D4"/>
    <w:pPr>
      <w:pageBreakBefore w:val="0"/>
      <w:spacing w:before="300" w:after="70" w:line="280" w:lineRule="atLeast"/>
    </w:pPr>
    <w:rPr>
      <w:rFonts w:asciiTheme="majorHAnsi" w:hAnsiTheme="majorHAnsi"/>
      <w:b/>
      <w:bCs/>
      <w:caps/>
      <w:color w:val="4986A0" w:themeColor="text2"/>
      <w:spacing w:val="2"/>
      <w:sz w:val="28"/>
      <w:lang w:eastAsia="en-AU"/>
    </w:rPr>
  </w:style>
  <w:style w:type="paragraph" w:customStyle="1" w:styleId="xInLineShape">
    <w:name w:val="xInLineShape"/>
    <w:basedOn w:val="BodyText"/>
    <w:next w:val="BodyText"/>
    <w:rsid w:val="006566D4"/>
    <w:pPr>
      <w:keepNext/>
      <w:spacing w:before="120" w:after="0"/>
    </w:pPr>
  </w:style>
  <w:style w:type="character" w:customStyle="1" w:styleId="MySuperscriptItalics">
    <w:name w:val="MySuperscript&amp;Italics"/>
    <w:uiPriority w:val="99"/>
    <w:semiHidden/>
    <w:rsid w:val="006566D4"/>
    <w:rPr>
      <w:b w:val="0"/>
      <w:i/>
      <w:vertAlign w:val="superscript"/>
    </w:rPr>
  </w:style>
  <w:style w:type="character" w:customStyle="1" w:styleId="MySubscriptItalics">
    <w:name w:val="MySubscript&amp;Italics"/>
    <w:uiPriority w:val="99"/>
    <w:semiHidden/>
    <w:rsid w:val="006566D4"/>
    <w:rPr>
      <w:b w:val="0"/>
      <w:i/>
      <w:vertAlign w:val="subscript"/>
    </w:rPr>
  </w:style>
  <w:style w:type="character" w:customStyle="1" w:styleId="MySuperscript">
    <w:name w:val="MySuperscript"/>
    <w:uiPriority w:val="99"/>
    <w:semiHidden/>
    <w:rsid w:val="006566D4"/>
    <w:rPr>
      <w:b w:val="0"/>
      <w:i w:val="0"/>
      <w:vertAlign w:val="superscript"/>
    </w:rPr>
  </w:style>
  <w:style w:type="character" w:customStyle="1" w:styleId="MySubscript">
    <w:name w:val="MySubscript"/>
    <w:uiPriority w:val="99"/>
    <w:semiHidden/>
    <w:rsid w:val="006566D4"/>
    <w:rPr>
      <w:b w:val="0"/>
      <w:i w:val="0"/>
      <w:vertAlign w:val="subscript"/>
    </w:rPr>
  </w:style>
  <w:style w:type="character" w:customStyle="1" w:styleId="BoldAndItalics">
    <w:name w:val="Bold And Italics"/>
    <w:semiHidden/>
    <w:rsid w:val="006566D4"/>
    <w:rPr>
      <w:b/>
      <w:i/>
      <w:vertAlign w:val="baseline"/>
    </w:rPr>
  </w:style>
  <w:style w:type="character" w:customStyle="1" w:styleId="MyBoldItalicsUnderline">
    <w:name w:val="MyBoldItalicsUnderline"/>
    <w:uiPriority w:val="99"/>
    <w:semiHidden/>
    <w:rsid w:val="006566D4"/>
    <w:rPr>
      <w:b/>
      <w:i/>
      <w:u w:val="single"/>
      <w:vertAlign w:val="baseline"/>
    </w:rPr>
  </w:style>
  <w:style w:type="character" w:customStyle="1" w:styleId="MyBoldUnderline">
    <w:name w:val="MyBoldUnderline"/>
    <w:uiPriority w:val="99"/>
    <w:semiHidden/>
    <w:rsid w:val="006566D4"/>
    <w:rPr>
      <w:b/>
      <w:i/>
      <w:u w:val="single"/>
      <w:vertAlign w:val="baseline"/>
    </w:rPr>
  </w:style>
  <w:style w:type="character" w:customStyle="1" w:styleId="MyItalicsUnderline">
    <w:name w:val="MyItalicsUnderline"/>
    <w:uiPriority w:val="99"/>
    <w:semiHidden/>
    <w:rsid w:val="006566D4"/>
    <w:rPr>
      <w:b/>
      <w:i/>
      <w:u w:val="single"/>
      <w:vertAlign w:val="baseline"/>
    </w:rPr>
  </w:style>
  <w:style w:type="character" w:customStyle="1" w:styleId="MyUnderline">
    <w:name w:val="MyUnderline"/>
    <w:uiPriority w:val="99"/>
    <w:semiHidden/>
    <w:rsid w:val="006566D4"/>
    <w:rPr>
      <w:b w:val="0"/>
      <w:i w:val="0"/>
      <w:u w:val="single"/>
      <w:vertAlign w:val="baseline"/>
    </w:rPr>
  </w:style>
  <w:style w:type="paragraph" w:styleId="ListNumber4">
    <w:name w:val="List Number 4"/>
    <w:basedOn w:val="Normal"/>
    <w:rsid w:val="006566D4"/>
    <w:pPr>
      <w:tabs>
        <w:tab w:val="num" w:pos="1701"/>
      </w:tabs>
      <w:spacing w:before="200" w:after="200" w:line="280" w:lineRule="atLeast"/>
      <w:ind w:left="1701" w:hanging="425"/>
    </w:pPr>
    <w:rPr>
      <w:rFonts w:ascii="Garamond" w:eastAsia="Times New Roman" w:hAnsi="Garamond" w:cs="Times New Roman"/>
      <w:color w:val="000000" w:themeColor="text1"/>
      <w:spacing w:val="2"/>
      <w:sz w:val="21"/>
      <w:szCs w:val="21"/>
      <w:lang w:eastAsia="en-AU"/>
    </w:rPr>
  </w:style>
  <w:style w:type="paragraph" w:styleId="ListBullet4">
    <w:name w:val="List Bullet 4"/>
    <w:basedOn w:val="ListBullet3"/>
    <w:rsid w:val="006566D4"/>
    <w:pPr>
      <w:numPr>
        <w:numId w:val="18"/>
      </w:numPr>
      <w:spacing w:before="70" w:after="70" w:line="280" w:lineRule="atLeast"/>
      <w:contextualSpacing w:val="0"/>
    </w:pPr>
    <w:rPr>
      <w:rFonts w:ascii="Garamond" w:eastAsia="Times New Roman" w:hAnsi="Garamond" w:cs="Times New Roman"/>
      <w:color w:val="000000" w:themeColor="text1"/>
      <w:spacing w:val="2"/>
      <w:sz w:val="21"/>
      <w:szCs w:val="21"/>
      <w:lang w:eastAsia="en-AU"/>
    </w:rPr>
  </w:style>
  <w:style w:type="paragraph" w:styleId="ListBullet5">
    <w:name w:val="List Bullet 5"/>
    <w:basedOn w:val="ListBullet4"/>
    <w:rsid w:val="006566D4"/>
    <w:pPr>
      <w:ind w:left="1135"/>
    </w:pPr>
  </w:style>
  <w:style w:type="paragraph" w:styleId="ListContinue4">
    <w:name w:val="List Continue 4"/>
    <w:basedOn w:val="Normal"/>
    <w:rsid w:val="006566D4"/>
    <w:pPr>
      <w:spacing w:before="200" w:after="200" w:line="280" w:lineRule="atLeast"/>
      <w:ind w:left="1701"/>
    </w:pPr>
    <w:rPr>
      <w:rFonts w:ascii="Garamond" w:eastAsia="Times New Roman" w:hAnsi="Garamond" w:cs="Times New Roman"/>
      <w:color w:val="000000" w:themeColor="text1"/>
      <w:spacing w:val="2"/>
      <w:sz w:val="21"/>
      <w:szCs w:val="21"/>
      <w:lang w:eastAsia="en-AU"/>
    </w:rPr>
  </w:style>
  <w:style w:type="paragraph" w:styleId="ListContinue5">
    <w:name w:val="List Continue 5"/>
    <w:basedOn w:val="Normal"/>
    <w:rsid w:val="006566D4"/>
    <w:pPr>
      <w:spacing w:before="200" w:after="200" w:line="280" w:lineRule="atLeast"/>
      <w:ind w:left="2126"/>
    </w:pPr>
    <w:rPr>
      <w:rFonts w:ascii="Garamond" w:eastAsia="Times New Roman" w:hAnsi="Garamond" w:cs="Times New Roman"/>
      <w:color w:val="000000" w:themeColor="text1"/>
      <w:spacing w:val="2"/>
      <w:sz w:val="21"/>
      <w:szCs w:val="21"/>
      <w:lang w:eastAsia="en-AU"/>
    </w:rPr>
  </w:style>
  <w:style w:type="paragraph" w:styleId="ListNumber5">
    <w:name w:val="List Number 5"/>
    <w:basedOn w:val="Normal"/>
    <w:rsid w:val="006566D4"/>
    <w:pPr>
      <w:tabs>
        <w:tab w:val="num" w:pos="2126"/>
      </w:tabs>
      <w:spacing w:before="200" w:after="200" w:line="280" w:lineRule="atLeast"/>
      <w:ind w:left="2126" w:hanging="425"/>
    </w:pPr>
    <w:rPr>
      <w:rFonts w:ascii="Garamond" w:eastAsia="Times New Roman" w:hAnsi="Garamond" w:cs="Times New Roman"/>
      <w:color w:val="000000" w:themeColor="text1"/>
      <w:spacing w:val="2"/>
      <w:sz w:val="21"/>
      <w:szCs w:val="21"/>
      <w:lang w:eastAsia="en-AU"/>
    </w:rPr>
  </w:style>
  <w:style w:type="paragraph" w:customStyle="1" w:styleId="ListAlpha">
    <w:name w:val="List Alpha"/>
    <w:basedOn w:val="BodyText"/>
    <w:qFormat/>
    <w:rsid w:val="00551FF1"/>
    <w:pPr>
      <w:numPr>
        <w:numId w:val="8"/>
      </w:numPr>
      <w:tabs>
        <w:tab w:val="right" w:pos="9072"/>
      </w:tabs>
    </w:pPr>
  </w:style>
  <w:style w:type="paragraph" w:customStyle="1" w:styleId="ListAlpha2">
    <w:name w:val="List Alpha 2"/>
    <w:basedOn w:val="Normal"/>
    <w:rsid w:val="00F43520"/>
    <w:pPr>
      <w:numPr>
        <w:ilvl w:val="1"/>
        <w:numId w:val="8"/>
      </w:numPr>
      <w:spacing w:before="200" w:after="200" w:line="280" w:lineRule="atLeast"/>
      <w:ind w:left="709" w:hanging="709"/>
    </w:pPr>
    <w:rPr>
      <w:rFonts w:ascii="Garamond" w:eastAsia="Times New Roman" w:hAnsi="Garamond" w:cs="Times New Roman"/>
      <w:color w:val="000000" w:themeColor="text1"/>
      <w:spacing w:val="2"/>
      <w:sz w:val="21"/>
      <w:szCs w:val="21"/>
      <w:lang w:eastAsia="en-AU"/>
    </w:rPr>
  </w:style>
  <w:style w:type="paragraph" w:customStyle="1" w:styleId="ListAlpha3">
    <w:name w:val="List Alpha 3"/>
    <w:basedOn w:val="Normal"/>
    <w:rsid w:val="00F43520"/>
    <w:pPr>
      <w:numPr>
        <w:ilvl w:val="2"/>
        <w:numId w:val="8"/>
      </w:numPr>
      <w:spacing w:before="200" w:after="200" w:line="280" w:lineRule="atLeast"/>
      <w:ind w:left="709" w:hanging="709"/>
    </w:pPr>
    <w:rPr>
      <w:rFonts w:ascii="Garamond" w:eastAsia="Times New Roman" w:hAnsi="Garamond" w:cs="Times New Roman"/>
      <w:color w:val="000000" w:themeColor="text1"/>
      <w:spacing w:val="2"/>
      <w:sz w:val="21"/>
      <w:szCs w:val="21"/>
      <w:lang w:eastAsia="en-AU"/>
    </w:rPr>
  </w:style>
  <w:style w:type="paragraph" w:customStyle="1" w:styleId="PullOutBoxBullet4">
    <w:name w:val="Pull Out Box Bullet 4"/>
    <w:basedOn w:val="PullOutBoxBodyText"/>
    <w:rsid w:val="00F43520"/>
    <w:pPr>
      <w:numPr>
        <w:ilvl w:val="3"/>
        <w:numId w:val="33"/>
      </w:numPr>
    </w:pPr>
  </w:style>
  <w:style w:type="paragraph" w:customStyle="1" w:styleId="TableBullet4">
    <w:name w:val="Table Bullet 4"/>
    <w:basedOn w:val="TableTextLeft"/>
    <w:rsid w:val="006566D4"/>
    <w:pPr>
      <w:ind w:left="908" w:hanging="227"/>
    </w:pPr>
  </w:style>
  <w:style w:type="numbering" w:customStyle="1" w:styleId="Appendices">
    <w:name w:val="Appendices"/>
    <w:uiPriority w:val="99"/>
    <w:rsid w:val="00F43520"/>
    <w:pPr>
      <w:numPr>
        <w:numId w:val="12"/>
      </w:numPr>
    </w:pPr>
  </w:style>
  <w:style w:type="character" w:customStyle="1" w:styleId="MyUnderlineStrikethrough">
    <w:name w:val="MyUnderline&amp;Strikethrough"/>
    <w:semiHidden/>
    <w:rsid w:val="006566D4"/>
    <w:rPr>
      <w:b w:val="0"/>
      <w:i w:val="0"/>
      <w:strike/>
      <w:dstrike w:val="0"/>
      <w:u w:val="single"/>
      <w:vertAlign w:val="baseline"/>
    </w:rPr>
  </w:style>
  <w:style w:type="character" w:customStyle="1" w:styleId="MyStrikethrough">
    <w:name w:val="MyStrikethrough"/>
    <w:semiHidden/>
    <w:rsid w:val="006566D4"/>
    <w:rPr>
      <w:b w:val="0"/>
      <w:i w:val="0"/>
      <w:strike/>
      <w:dstrike w:val="0"/>
      <w:vertAlign w:val="baseline"/>
    </w:rPr>
  </w:style>
  <w:style w:type="table" w:customStyle="1" w:styleId="NumericalTable">
    <w:name w:val="Numerical Table"/>
    <w:basedOn w:val="TableNormal"/>
    <w:uiPriority w:val="99"/>
    <w:rsid w:val="006566D4"/>
    <w:pPr>
      <w:spacing w:before="60" w:after="60" w:line="260" w:lineRule="atLeast"/>
      <w:jc w:val="right"/>
    </w:pPr>
    <w:rPr>
      <w:rFonts w:asciiTheme="majorHAnsi" w:eastAsia="Times New Roman" w:hAnsiTheme="majorHAnsi" w:cs="Times New Roman"/>
      <w:color w:val="000000" w:themeColor="text1"/>
      <w:sz w:val="20"/>
      <w:lang w:val="en-AU" w:eastAsia="en-AU"/>
    </w:rPr>
    <w:tblPr>
      <w:tblBorders>
        <w:top w:val="single" w:sz="4" w:space="0" w:color="000000" w:themeColor="text1"/>
        <w:bottom w:val="single" w:sz="4" w:space="0" w:color="000000" w:themeColor="text1"/>
      </w:tblBorders>
      <w:tblCellMar>
        <w:left w:w="113" w:type="dxa"/>
        <w:right w:w="113" w:type="dxa"/>
      </w:tblCellMar>
    </w:tblPr>
    <w:tblStylePr w:type="firstRow">
      <w:rPr>
        <w:b w:val="0"/>
        <w:color w:val="000000" w:themeColor="text1"/>
      </w:rPr>
      <w:tblPr/>
      <w:trPr>
        <w:tblHeader/>
      </w:tr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firstCol">
      <w:pPr>
        <w:jc w:val="left"/>
      </w:pPr>
    </w:tblStylePr>
  </w:style>
  <w:style w:type="paragraph" w:customStyle="1" w:styleId="QuoteBullet1">
    <w:name w:val="Quote Bullet 1"/>
    <w:basedOn w:val="Quote"/>
    <w:qFormat/>
    <w:rsid w:val="00551FF1"/>
    <w:pPr>
      <w:tabs>
        <w:tab w:val="left" w:pos="2009"/>
      </w:tabs>
      <w:spacing w:before="200" w:after="200" w:line="280" w:lineRule="atLeast"/>
      <w:ind w:left="558" w:right="567" w:hanging="360"/>
    </w:pPr>
    <w:rPr>
      <w:rFonts w:asciiTheme="majorHAnsi" w:eastAsia="Times New Roman" w:hAnsiTheme="majorHAnsi" w:cs="Times New Roman"/>
      <w:i/>
      <w:color w:val="CE0058" w:themeColor="accent2"/>
      <w:spacing w:val="3"/>
      <w:sz w:val="21"/>
      <w:szCs w:val="21"/>
      <w:lang w:eastAsia="en-AU"/>
    </w:rPr>
  </w:style>
  <w:style w:type="paragraph" w:customStyle="1" w:styleId="QuoteBullet2">
    <w:name w:val="Quote Bullet 2"/>
    <w:basedOn w:val="Quote"/>
    <w:qFormat/>
    <w:rsid w:val="006566D4"/>
    <w:pPr>
      <w:tabs>
        <w:tab w:val="left" w:pos="2009"/>
      </w:tabs>
      <w:spacing w:before="200" w:after="200" w:line="280" w:lineRule="atLeast"/>
      <w:ind w:left="1278" w:right="567" w:hanging="360"/>
    </w:pPr>
    <w:rPr>
      <w:rFonts w:asciiTheme="majorHAnsi" w:eastAsia="Times New Roman" w:hAnsiTheme="majorHAnsi" w:cs="Times New Roman"/>
      <w:i/>
      <w:color w:val="CE0058" w:themeColor="accent2"/>
      <w:spacing w:val="3"/>
      <w:sz w:val="21"/>
      <w:szCs w:val="21"/>
      <w:lang w:eastAsia="en-AU"/>
    </w:rPr>
  </w:style>
  <w:style w:type="paragraph" w:customStyle="1" w:styleId="QuoteNumber">
    <w:name w:val="Quote Number"/>
    <w:basedOn w:val="Quote"/>
    <w:qFormat/>
    <w:rsid w:val="00551FF1"/>
    <w:pPr>
      <w:numPr>
        <w:numId w:val="10"/>
      </w:numPr>
      <w:tabs>
        <w:tab w:val="left" w:pos="2009"/>
      </w:tabs>
      <w:spacing w:before="200" w:after="200" w:line="280" w:lineRule="atLeast"/>
      <w:ind w:right="567"/>
    </w:pPr>
    <w:rPr>
      <w:rFonts w:asciiTheme="majorHAnsi" w:eastAsia="Times New Roman" w:hAnsiTheme="majorHAnsi" w:cs="Times New Roman"/>
      <w:i/>
      <w:color w:val="CE0058" w:themeColor="accent2"/>
      <w:spacing w:val="3"/>
      <w:sz w:val="21"/>
      <w:szCs w:val="21"/>
      <w:lang w:eastAsia="en-AU"/>
    </w:rPr>
  </w:style>
  <w:style w:type="paragraph" w:customStyle="1" w:styleId="FooterPageNumber">
    <w:name w:val="Footer Page Number"/>
    <w:basedOn w:val="Footer"/>
    <w:rsid w:val="006566D4"/>
    <w:pPr>
      <w:framePr w:wrap="around" w:vAnchor="text" w:hAnchor="margin" w:y="313"/>
      <w:tabs>
        <w:tab w:val="clear" w:pos="4680"/>
        <w:tab w:val="clear" w:pos="9360"/>
        <w:tab w:val="right" w:pos="9026"/>
      </w:tabs>
      <w:spacing w:before="0" w:line="240" w:lineRule="auto"/>
    </w:pPr>
    <w:rPr>
      <w:rFonts w:ascii="Garamond" w:eastAsia="Times New Roman" w:hAnsi="Garamond" w:cs="Times New Roman"/>
      <w:noProof/>
      <w:color w:val="808080"/>
      <w:spacing w:val="3"/>
      <w:sz w:val="18"/>
      <w:szCs w:val="21"/>
      <w:lang w:eastAsia="en-AU"/>
    </w:rPr>
  </w:style>
  <w:style w:type="paragraph" w:customStyle="1" w:styleId="Note">
    <w:name w:val="Note"/>
    <w:basedOn w:val="BodyText"/>
    <w:qFormat/>
    <w:rsid w:val="006566D4"/>
    <w:pPr>
      <w:spacing w:before="120" w:line="240" w:lineRule="atLeast"/>
      <w:contextualSpacing/>
    </w:pPr>
    <w:rPr>
      <w:sz w:val="18"/>
      <w:szCs w:val="18"/>
    </w:rPr>
  </w:style>
  <w:style w:type="paragraph" w:customStyle="1" w:styleId="HeaderFirstPage">
    <w:name w:val="Header First Page"/>
    <w:basedOn w:val="Header"/>
    <w:uiPriority w:val="99"/>
    <w:qFormat/>
    <w:rsid w:val="006566D4"/>
    <w:pPr>
      <w:tabs>
        <w:tab w:val="clear" w:pos="4680"/>
        <w:tab w:val="clear" w:pos="9360"/>
        <w:tab w:val="center" w:pos="4513"/>
        <w:tab w:val="right" w:pos="9026"/>
      </w:tabs>
      <w:spacing w:before="0" w:line="240" w:lineRule="auto"/>
      <w:contextualSpacing/>
    </w:pPr>
    <w:rPr>
      <w:rFonts w:ascii="Garamond" w:eastAsia="Times New Roman" w:hAnsi="Garamond" w:cs="Times New Roman"/>
      <w:color w:val="000000" w:themeColor="text1"/>
      <w:spacing w:val="2"/>
      <w:sz w:val="21"/>
      <w:szCs w:val="21"/>
      <w:lang w:eastAsia="en-AU"/>
    </w:rPr>
  </w:style>
  <w:style w:type="table" w:customStyle="1" w:styleId="PullQuoteTable">
    <w:name w:val="Pull Quote Table"/>
    <w:basedOn w:val="TableNormal"/>
    <w:uiPriority w:val="99"/>
    <w:rsid w:val="006566D4"/>
    <w:pPr>
      <w:spacing w:before="120" w:after="120" w:line="280" w:lineRule="atLeast"/>
    </w:pPr>
    <w:rPr>
      <w:rFonts w:asciiTheme="majorHAnsi" w:eastAsia="Times New Roman" w:hAnsiTheme="majorHAnsi" w:cs="Times New Roman"/>
      <w:color w:val="FFFFFF" w:themeColor="background1"/>
      <w:sz w:val="21"/>
      <w:szCs w:val="21"/>
      <w:lang w:val="en-AU" w:eastAsia="en-AU"/>
    </w:rPr>
    <w:tblPr>
      <w:tblCellMar>
        <w:top w:w="113" w:type="dxa"/>
        <w:left w:w="340" w:type="dxa"/>
        <w:bottom w:w="142" w:type="dxa"/>
        <w:right w:w="340" w:type="dxa"/>
      </w:tblCellMar>
    </w:tblPr>
    <w:tcPr>
      <w:shd w:val="clear" w:color="auto" w:fill="CE0058" w:themeFill="accent2"/>
    </w:tcPr>
  </w:style>
  <w:style w:type="paragraph" w:customStyle="1" w:styleId="QuoteBullet3">
    <w:name w:val="Quote Bullet 3"/>
    <w:basedOn w:val="QuoteBullet2"/>
    <w:qFormat/>
    <w:rsid w:val="00551FF1"/>
    <w:pPr>
      <w:ind w:left="1998"/>
    </w:pPr>
  </w:style>
  <w:style w:type="paragraph" w:customStyle="1" w:styleId="PullQuote">
    <w:name w:val="Pull Quote"/>
    <w:basedOn w:val="Normal"/>
    <w:qFormat/>
    <w:rsid w:val="006566D4"/>
    <w:pPr>
      <w:spacing w:before="120" w:after="120" w:line="280" w:lineRule="atLeast"/>
    </w:pPr>
    <w:rPr>
      <w:rFonts w:asciiTheme="majorHAnsi" w:eastAsia="Times New Roman" w:hAnsiTheme="majorHAnsi" w:cs="Times New Roman"/>
      <w:i/>
      <w:color w:val="FFFFFF" w:themeColor="background1"/>
      <w:spacing w:val="2"/>
      <w:sz w:val="21"/>
      <w:szCs w:val="21"/>
      <w:lang w:eastAsia="en-AU"/>
    </w:rPr>
  </w:style>
  <w:style w:type="paragraph" w:customStyle="1" w:styleId="PullQuoteBullet">
    <w:name w:val="Pull Quote Bullet"/>
    <w:basedOn w:val="PullQuote"/>
    <w:qFormat/>
    <w:rsid w:val="00551FF1"/>
    <w:pPr>
      <w:numPr>
        <w:numId w:val="11"/>
      </w:numPr>
    </w:pPr>
  </w:style>
  <w:style w:type="paragraph" w:customStyle="1" w:styleId="Default">
    <w:name w:val="Default"/>
    <w:rsid w:val="006566D4"/>
    <w:pPr>
      <w:autoSpaceDE w:val="0"/>
      <w:autoSpaceDN w:val="0"/>
      <w:adjustRightInd w:val="0"/>
      <w:spacing w:after="0" w:line="240" w:lineRule="auto"/>
    </w:pPr>
    <w:rPr>
      <w:rFonts w:ascii="Calibri" w:eastAsia="Times New Roman" w:hAnsi="Calibri" w:cs="Calibri"/>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7947">
      <w:bodyDiv w:val="1"/>
      <w:marLeft w:val="0"/>
      <w:marRight w:val="0"/>
      <w:marTop w:val="0"/>
      <w:marBottom w:val="0"/>
      <w:divBdr>
        <w:top w:val="none" w:sz="0" w:space="0" w:color="auto"/>
        <w:left w:val="none" w:sz="0" w:space="0" w:color="auto"/>
        <w:bottom w:val="none" w:sz="0" w:space="0" w:color="auto"/>
        <w:right w:val="none" w:sz="0" w:space="0" w:color="auto"/>
      </w:divBdr>
    </w:div>
    <w:div w:id="19548310">
      <w:bodyDiv w:val="1"/>
      <w:marLeft w:val="0"/>
      <w:marRight w:val="0"/>
      <w:marTop w:val="0"/>
      <w:marBottom w:val="0"/>
      <w:divBdr>
        <w:top w:val="none" w:sz="0" w:space="0" w:color="auto"/>
        <w:left w:val="none" w:sz="0" w:space="0" w:color="auto"/>
        <w:bottom w:val="none" w:sz="0" w:space="0" w:color="auto"/>
        <w:right w:val="none" w:sz="0" w:space="0" w:color="auto"/>
      </w:divBdr>
    </w:div>
    <w:div w:id="367264565">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939340443">
      <w:bodyDiv w:val="1"/>
      <w:marLeft w:val="0"/>
      <w:marRight w:val="0"/>
      <w:marTop w:val="0"/>
      <w:marBottom w:val="0"/>
      <w:divBdr>
        <w:top w:val="none" w:sz="0" w:space="0" w:color="auto"/>
        <w:left w:val="none" w:sz="0" w:space="0" w:color="auto"/>
        <w:bottom w:val="none" w:sz="0" w:space="0" w:color="auto"/>
        <w:right w:val="none" w:sz="0" w:space="0" w:color="auto"/>
      </w:divBdr>
    </w:div>
    <w:div w:id="967246377">
      <w:bodyDiv w:val="1"/>
      <w:marLeft w:val="0"/>
      <w:marRight w:val="0"/>
      <w:marTop w:val="0"/>
      <w:marBottom w:val="0"/>
      <w:divBdr>
        <w:top w:val="none" w:sz="0" w:space="0" w:color="auto"/>
        <w:left w:val="none" w:sz="0" w:space="0" w:color="auto"/>
        <w:bottom w:val="none" w:sz="0" w:space="0" w:color="auto"/>
        <w:right w:val="none" w:sz="0" w:space="0" w:color="auto"/>
      </w:divBdr>
    </w:div>
    <w:div w:id="1022239709">
      <w:bodyDiv w:val="1"/>
      <w:marLeft w:val="0"/>
      <w:marRight w:val="0"/>
      <w:marTop w:val="0"/>
      <w:marBottom w:val="0"/>
      <w:divBdr>
        <w:top w:val="none" w:sz="0" w:space="0" w:color="auto"/>
        <w:left w:val="none" w:sz="0" w:space="0" w:color="auto"/>
        <w:bottom w:val="none" w:sz="0" w:space="0" w:color="auto"/>
        <w:right w:val="none" w:sz="0" w:space="0" w:color="auto"/>
      </w:divBdr>
      <w:divsChild>
        <w:div w:id="1701127893">
          <w:marLeft w:val="533"/>
          <w:marRight w:val="0"/>
          <w:marTop w:val="120"/>
          <w:marBottom w:val="120"/>
          <w:divBdr>
            <w:top w:val="none" w:sz="0" w:space="0" w:color="auto"/>
            <w:left w:val="none" w:sz="0" w:space="0" w:color="auto"/>
            <w:bottom w:val="none" w:sz="0" w:space="0" w:color="auto"/>
            <w:right w:val="none" w:sz="0" w:space="0" w:color="auto"/>
          </w:divBdr>
        </w:div>
      </w:divsChild>
    </w:div>
    <w:div w:id="1201430151">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94167289">
      <w:bodyDiv w:val="1"/>
      <w:marLeft w:val="0"/>
      <w:marRight w:val="0"/>
      <w:marTop w:val="0"/>
      <w:marBottom w:val="0"/>
      <w:divBdr>
        <w:top w:val="none" w:sz="0" w:space="0" w:color="auto"/>
        <w:left w:val="none" w:sz="0" w:space="0" w:color="auto"/>
        <w:bottom w:val="none" w:sz="0" w:space="0" w:color="auto"/>
        <w:right w:val="none" w:sz="0" w:space="0" w:color="auto"/>
      </w:divBdr>
    </w:div>
    <w:div w:id="1492451574">
      <w:bodyDiv w:val="1"/>
      <w:marLeft w:val="0"/>
      <w:marRight w:val="0"/>
      <w:marTop w:val="0"/>
      <w:marBottom w:val="0"/>
      <w:divBdr>
        <w:top w:val="none" w:sz="0" w:space="0" w:color="auto"/>
        <w:left w:val="none" w:sz="0" w:space="0" w:color="auto"/>
        <w:bottom w:val="none" w:sz="0" w:space="0" w:color="auto"/>
        <w:right w:val="none" w:sz="0" w:space="0" w:color="auto"/>
      </w:divBdr>
    </w:div>
    <w:div w:id="1553232893">
      <w:bodyDiv w:val="1"/>
      <w:marLeft w:val="0"/>
      <w:marRight w:val="0"/>
      <w:marTop w:val="0"/>
      <w:marBottom w:val="0"/>
      <w:divBdr>
        <w:top w:val="none" w:sz="0" w:space="0" w:color="auto"/>
        <w:left w:val="none" w:sz="0" w:space="0" w:color="auto"/>
        <w:bottom w:val="none" w:sz="0" w:space="0" w:color="auto"/>
        <w:right w:val="none" w:sz="0" w:space="0" w:color="auto"/>
      </w:divBdr>
    </w:div>
    <w:div w:id="1564175450">
      <w:bodyDiv w:val="1"/>
      <w:marLeft w:val="0"/>
      <w:marRight w:val="0"/>
      <w:marTop w:val="0"/>
      <w:marBottom w:val="0"/>
      <w:divBdr>
        <w:top w:val="none" w:sz="0" w:space="0" w:color="auto"/>
        <w:left w:val="none" w:sz="0" w:space="0" w:color="auto"/>
        <w:bottom w:val="none" w:sz="0" w:space="0" w:color="auto"/>
        <w:right w:val="none" w:sz="0" w:space="0" w:color="auto"/>
      </w:divBdr>
    </w:div>
    <w:div w:id="1786584714">
      <w:bodyDiv w:val="1"/>
      <w:marLeft w:val="0"/>
      <w:marRight w:val="0"/>
      <w:marTop w:val="0"/>
      <w:marBottom w:val="0"/>
      <w:divBdr>
        <w:top w:val="none" w:sz="0" w:space="0" w:color="auto"/>
        <w:left w:val="none" w:sz="0" w:space="0" w:color="auto"/>
        <w:bottom w:val="none" w:sz="0" w:space="0" w:color="auto"/>
        <w:right w:val="none" w:sz="0" w:space="0" w:color="auto"/>
      </w:divBdr>
      <w:divsChild>
        <w:div w:id="329262629">
          <w:marLeft w:val="547"/>
          <w:marRight w:val="0"/>
          <w:marTop w:val="0"/>
          <w:marBottom w:val="160"/>
          <w:divBdr>
            <w:top w:val="none" w:sz="0" w:space="0" w:color="auto"/>
            <w:left w:val="none" w:sz="0" w:space="0" w:color="auto"/>
            <w:bottom w:val="none" w:sz="0" w:space="0" w:color="auto"/>
            <w:right w:val="none" w:sz="0" w:space="0" w:color="auto"/>
          </w:divBdr>
        </w:div>
        <w:div w:id="427431242">
          <w:marLeft w:val="547"/>
          <w:marRight w:val="0"/>
          <w:marTop w:val="0"/>
          <w:marBottom w:val="120"/>
          <w:divBdr>
            <w:top w:val="none" w:sz="0" w:space="0" w:color="auto"/>
            <w:left w:val="none" w:sz="0" w:space="0" w:color="auto"/>
            <w:bottom w:val="none" w:sz="0" w:space="0" w:color="auto"/>
            <w:right w:val="none" w:sz="0" w:space="0" w:color="auto"/>
          </w:divBdr>
        </w:div>
        <w:div w:id="460537388">
          <w:marLeft w:val="547"/>
          <w:marRight w:val="0"/>
          <w:marTop w:val="0"/>
          <w:marBottom w:val="120"/>
          <w:divBdr>
            <w:top w:val="none" w:sz="0" w:space="0" w:color="auto"/>
            <w:left w:val="none" w:sz="0" w:space="0" w:color="auto"/>
            <w:bottom w:val="none" w:sz="0" w:space="0" w:color="auto"/>
            <w:right w:val="none" w:sz="0" w:space="0" w:color="auto"/>
          </w:divBdr>
        </w:div>
        <w:div w:id="630595894">
          <w:marLeft w:val="547"/>
          <w:marRight w:val="0"/>
          <w:marTop w:val="0"/>
          <w:marBottom w:val="120"/>
          <w:divBdr>
            <w:top w:val="none" w:sz="0" w:space="0" w:color="auto"/>
            <w:left w:val="none" w:sz="0" w:space="0" w:color="auto"/>
            <w:bottom w:val="none" w:sz="0" w:space="0" w:color="auto"/>
            <w:right w:val="none" w:sz="0" w:space="0" w:color="auto"/>
          </w:divBdr>
        </w:div>
        <w:div w:id="829489786">
          <w:marLeft w:val="547"/>
          <w:marRight w:val="0"/>
          <w:marTop w:val="0"/>
          <w:marBottom w:val="120"/>
          <w:divBdr>
            <w:top w:val="none" w:sz="0" w:space="0" w:color="auto"/>
            <w:left w:val="none" w:sz="0" w:space="0" w:color="auto"/>
            <w:bottom w:val="none" w:sz="0" w:space="0" w:color="auto"/>
            <w:right w:val="none" w:sz="0" w:space="0" w:color="auto"/>
          </w:divBdr>
        </w:div>
        <w:div w:id="1022559221">
          <w:marLeft w:val="547"/>
          <w:marRight w:val="0"/>
          <w:marTop w:val="0"/>
          <w:marBottom w:val="120"/>
          <w:divBdr>
            <w:top w:val="none" w:sz="0" w:space="0" w:color="auto"/>
            <w:left w:val="none" w:sz="0" w:space="0" w:color="auto"/>
            <w:bottom w:val="none" w:sz="0" w:space="0" w:color="auto"/>
            <w:right w:val="none" w:sz="0" w:space="0" w:color="auto"/>
          </w:divBdr>
        </w:div>
        <w:div w:id="1550726441">
          <w:marLeft w:val="547"/>
          <w:marRight w:val="0"/>
          <w:marTop w:val="0"/>
          <w:marBottom w:val="120"/>
          <w:divBdr>
            <w:top w:val="none" w:sz="0" w:space="0" w:color="auto"/>
            <w:left w:val="none" w:sz="0" w:space="0" w:color="auto"/>
            <w:bottom w:val="none" w:sz="0" w:space="0" w:color="auto"/>
            <w:right w:val="none" w:sz="0" w:space="0" w:color="auto"/>
          </w:divBdr>
        </w:div>
        <w:div w:id="1774936944">
          <w:marLeft w:val="547"/>
          <w:marRight w:val="0"/>
          <w:marTop w:val="0"/>
          <w:marBottom w:val="120"/>
          <w:divBdr>
            <w:top w:val="none" w:sz="0" w:space="0" w:color="auto"/>
            <w:left w:val="none" w:sz="0" w:space="0" w:color="auto"/>
            <w:bottom w:val="none" w:sz="0" w:space="0" w:color="auto"/>
            <w:right w:val="none" w:sz="0" w:space="0" w:color="auto"/>
          </w:divBdr>
        </w:div>
      </w:divsChild>
    </w:div>
    <w:div w:id="1815950564">
      <w:bodyDiv w:val="1"/>
      <w:marLeft w:val="0"/>
      <w:marRight w:val="0"/>
      <w:marTop w:val="0"/>
      <w:marBottom w:val="0"/>
      <w:divBdr>
        <w:top w:val="none" w:sz="0" w:space="0" w:color="auto"/>
        <w:left w:val="none" w:sz="0" w:space="0" w:color="auto"/>
        <w:bottom w:val="none" w:sz="0" w:space="0" w:color="auto"/>
        <w:right w:val="none" w:sz="0" w:space="0" w:color="auto"/>
      </w:divBdr>
      <w:divsChild>
        <w:div w:id="437871249">
          <w:marLeft w:val="533"/>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www.esc.vic.gov.au/water/water-prices-tariffs-and-special-drainage/water-price-reviews/water-price-review-202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water@esc.vic.gov.au" TargetMode="External"/><Relationship Id="rId27" Type="http://schemas.openxmlformats.org/officeDocument/2006/relationships/footer" Target="footer8.xml"/><Relationship Id="rId30" Type="http://schemas.openxmlformats.org/officeDocument/2006/relationships/footer" Target="footer10.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sc.vic.gov.au/sites/default/files/documents/CNP-%20NCC%20Guidance%20paper%20%28v15%29.pdf" TargetMode="External"/><Relationship Id="rId2" Type="http://schemas.openxmlformats.org/officeDocument/2006/relationships/hyperlink" Target="https://www.esc.vic.gov.au/sites/default/files/documents/CNP-%20NCC%20Guidance%20paper%20%28v15%29.pdf" TargetMode="External"/><Relationship Id="rId1" Type="http://schemas.openxmlformats.org/officeDocument/2006/relationships/hyperlink" Target="https://www.esc.vic.gov.au/sites/default/files/documents/CNP-%20NCC%20Guidance%20paper%20%28v15%29.pdf" TargetMode="External"/><Relationship Id="rId4" Type="http://schemas.openxmlformats.org/officeDocument/2006/relationships/hyperlink" Target="https://www.dcceew.gov.au/sites/default/files/sitecollectiondocuments/water/national-water-initiative-pricing-principl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26D8CCC9534309B9B5E9DB9F905536"/>
        <w:category>
          <w:name w:val="General"/>
          <w:gallery w:val="placeholder"/>
        </w:category>
        <w:types>
          <w:type w:val="bbPlcHdr"/>
        </w:types>
        <w:behaviors>
          <w:behavior w:val="content"/>
        </w:behaviors>
        <w:guid w:val="{929608A6-3918-41DB-B90C-E08C06D8411E}"/>
      </w:docPartPr>
      <w:docPartBody>
        <w:p w:rsidR="008C4DE6" w:rsidRDefault="008C4DE6">
          <w:pPr>
            <w:pStyle w:val="0B26D8CCC9534309B9B5E9DB9F905536"/>
          </w:pPr>
          <w:r>
            <w:t xml:space="preserve">  </w:t>
          </w:r>
        </w:p>
      </w:docPartBody>
    </w:docPart>
    <w:docPart>
      <w:docPartPr>
        <w:name w:val="CD34D51FC7ED4B339ADA211D80BD0736"/>
        <w:category>
          <w:name w:val="General"/>
          <w:gallery w:val="placeholder"/>
        </w:category>
        <w:types>
          <w:type w:val="bbPlcHdr"/>
        </w:types>
        <w:behaviors>
          <w:behavior w:val="content"/>
        </w:behaviors>
        <w:guid w:val="{4707C07B-F417-474E-98DB-DB00C68970C5}"/>
      </w:docPartPr>
      <w:docPartBody>
        <w:p w:rsidR="008C4DE6" w:rsidRDefault="008C4DE6">
          <w:pPr>
            <w:pStyle w:val="CD34D51FC7ED4B339ADA211D80BD0736"/>
          </w:pPr>
          <w:r w:rsidRPr="00DA005C">
            <w:t>[Title, use ‘Title’ type style. Content will automatically link to internal footer]</w:t>
          </w:r>
        </w:p>
      </w:docPartBody>
    </w:docPart>
    <w:docPart>
      <w:docPartPr>
        <w:name w:val="F0144DCCD14F4430B410C534DEC49CFC"/>
        <w:category>
          <w:name w:val="General"/>
          <w:gallery w:val="placeholder"/>
        </w:category>
        <w:types>
          <w:type w:val="bbPlcHdr"/>
        </w:types>
        <w:behaviors>
          <w:behavior w:val="content"/>
        </w:behaviors>
        <w:guid w:val="{F9145317-1F7D-495B-8401-A6F325B7EA43}"/>
      </w:docPartPr>
      <w:docPartBody>
        <w:p w:rsidR="008C4DE6" w:rsidRDefault="008C4DE6">
          <w:pPr>
            <w:pStyle w:val="F0144DCCD14F4430B410C534DEC49CFC"/>
          </w:pPr>
          <w:r w:rsidRPr="00360763">
            <w:rPr>
              <w:highlight w:val="lightGray"/>
            </w:rPr>
            <w:t>[Click to select a year]</w:t>
          </w:r>
        </w:p>
      </w:docPartBody>
    </w:docPart>
    <w:docPart>
      <w:docPartPr>
        <w:name w:val="C3B5F2BDCEE444C89923D06CD3C3F258"/>
        <w:category>
          <w:name w:val="General"/>
          <w:gallery w:val="placeholder"/>
        </w:category>
        <w:types>
          <w:type w:val="bbPlcHdr"/>
        </w:types>
        <w:behaviors>
          <w:behavior w:val="content"/>
        </w:behaviors>
        <w:guid w:val="{5C612B0C-6141-4EE6-8371-E57C5835C17A}"/>
      </w:docPartPr>
      <w:docPartBody>
        <w:p w:rsidR="008C4DE6" w:rsidRDefault="008C4DE6">
          <w:pPr>
            <w:pStyle w:val="C3B5F2BDCEE444C89923D06CD3C3F258"/>
          </w:pPr>
          <w:r w:rsidRPr="00563AD8">
            <w:rPr>
              <w:highlight w:val="lightGray"/>
            </w:rPr>
            <w:t>[Subtitle]</w:t>
          </w:r>
        </w:p>
      </w:docPartBody>
    </w:docPart>
    <w:docPart>
      <w:docPartPr>
        <w:name w:val="AED240F9F4284DE780CFD1F88DF04FC6"/>
        <w:category>
          <w:name w:val="General"/>
          <w:gallery w:val="placeholder"/>
        </w:category>
        <w:types>
          <w:type w:val="bbPlcHdr"/>
        </w:types>
        <w:behaviors>
          <w:behavior w:val="content"/>
        </w:behaviors>
        <w:guid w:val="{6A6BA8AB-CD4D-4EE3-9D50-6D4E93CBB2CE}"/>
      </w:docPartPr>
      <w:docPartBody>
        <w:p w:rsidR="008C4DE6" w:rsidRDefault="008C4DE6">
          <w:pPr>
            <w:pStyle w:val="AED240F9F4284DE780CFD1F88DF04FC6"/>
          </w:pPr>
          <w:r w:rsidRPr="00360763">
            <w:rPr>
              <w:highlight w:val="lightGray"/>
            </w:rPr>
            <w:t>[Click to select a year]</w:t>
          </w:r>
        </w:p>
      </w:docPartBody>
    </w:docPart>
    <w:docPart>
      <w:docPartPr>
        <w:name w:val="930D09F6A6A34FC6A8C8F9F23AF8CC6B"/>
        <w:category>
          <w:name w:val="General"/>
          <w:gallery w:val="placeholder"/>
        </w:category>
        <w:types>
          <w:type w:val="bbPlcHdr"/>
        </w:types>
        <w:behaviors>
          <w:behavior w:val="content"/>
        </w:behaviors>
        <w:guid w:val="{28089113-049E-46F8-8C82-183FD3B8204D}"/>
      </w:docPartPr>
      <w:docPartBody>
        <w:p w:rsidR="002128B9" w:rsidRDefault="008C4DE6">
          <w:pPr>
            <w:pStyle w:val="930D09F6A6A34FC6A8C8F9F23AF8CC6B"/>
          </w:pPr>
          <w:r w:rsidRPr="008249C5">
            <w:rPr>
              <w:rStyle w:val="PlaceholderText"/>
            </w:rPr>
            <w:t>[</w:t>
          </w:r>
          <w:r>
            <w:rPr>
              <w:rStyle w:val="PlaceholderText"/>
            </w:rPr>
            <w:t>Subtitle</w:t>
          </w:r>
          <w:r w:rsidRPr="008249C5">
            <w:rPr>
              <w:rStyle w:val="PlaceholderText"/>
            </w:rPr>
            <w:t>]</w:t>
          </w:r>
        </w:p>
      </w:docPartBody>
    </w:docPart>
    <w:docPart>
      <w:docPartPr>
        <w:name w:val="834F06C6F49A4A6A95079B7FA0B0CB7A"/>
        <w:category>
          <w:name w:val="General"/>
          <w:gallery w:val="placeholder"/>
        </w:category>
        <w:types>
          <w:type w:val="bbPlcHdr"/>
        </w:types>
        <w:behaviors>
          <w:behavior w:val="content"/>
        </w:behaviors>
        <w:guid w:val="{EDCBF6EE-C7BC-41FA-8F31-34C882233FDB}"/>
      </w:docPartPr>
      <w:docPartBody>
        <w:p w:rsidR="001A0199" w:rsidRDefault="008C4DE6">
          <w:pPr>
            <w:pStyle w:val="834F06C6F49A4A6A95079B7FA0B0CB7A"/>
          </w:pPr>
          <w:r>
            <w:t xml:space="preserve">  </w:t>
          </w:r>
        </w:p>
      </w:docPartBody>
    </w:docPart>
    <w:docPart>
      <w:docPartPr>
        <w:name w:val="1036161D62E143488B3A37EAF6B7605D"/>
        <w:category>
          <w:name w:val="General"/>
          <w:gallery w:val="placeholder"/>
        </w:category>
        <w:types>
          <w:type w:val="bbPlcHdr"/>
        </w:types>
        <w:behaviors>
          <w:behavior w:val="content"/>
        </w:behaviors>
        <w:guid w:val="{2B7F6625-2788-46CA-9CCF-3E3E0B2ED2AB}"/>
      </w:docPartPr>
      <w:docPartBody>
        <w:p w:rsidR="00657149" w:rsidRDefault="008C4DE6">
          <w:pPr>
            <w:pStyle w:val="1036161D62E143488B3A37EAF6B7605D"/>
          </w:pPr>
          <w:r w:rsidRPr="00360763">
            <w:rPr>
              <w:highlight w:val="lightGray"/>
            </w:rPr>
            <w:t>[Click to select a year]</w:t>
          </w:r>
        </w:p>
      </w:docPartBody>
    </w:docPart>
    <w:docPart>
      <w:docPartPr>
        <w:name w:val="8C51EE57D5C1425FAB19C3A80FCA41FF"/>
        <w:category>
          <w:name w:val="General"/>
          <w:gallery w:val="placeholder"/>
        </w:category>
        <w:types>
          <w:type w:val="bbPlcHdr"/>
        </w:types>
        <w:behaviors>
          <w:behavior w:val="content"/>
        </w:behaviors>
        <w:guid w:val="{52AE645E-1FA0-4196-A90C-8C1E83E38D91}"/>
      </w:docPartPr>
      <w:docPartBody>
        <w:p w:rsidR="00657149" w:rsidRDefault="00FC2C89">
          <w:pPr>
            <w:pStyle w:val="8C51EE57D5C1425FAB19C3A80FCA41FF"/>
          </w:pPr>
          <w:r w:rsidRPr="00563AD8">
            <w:rPr>
              <w:highlight w:val="lightGray"/>
            </w:rPr>
            <w:t>[Subtitle]</w:t>
          </w:r>
        </w:p>
      </w:docPartBody>
    </w:docPart>
    <w:docPart>
      <w:docPartPr>
        <w:name w:val="7DEA0B61CCDE4F55AAFD0271676C1294"/>
        <w:category>
          <w:name w:val="General"/>
          <w:gallery w:val="placeholder"/>
        </w:category>
        <w:types>
          <w:type w:val="bbPlcHdr"/>
        </w:types>
        <w:behaviors>
          <w:behavior w:val="content"/>
        </w:behaviors>
        <w:guid w:val="{D49C32D9-C1B7-4751-B42C-BFD6D25A5003}"/>
      </w:docPartPr>
      <w:docPartBody>
        <w:p w:rsidR="00657149" w:rsidRDefault="00FC2C89">
          <w:pPr>
            <w:pStyle w:val="7DEA0B61CCDE4F55AAFD0271676C1294"/>
          </w:pPr>
          <w:r>
            <w:t>[</w:t>
          </w:r>
          <w:r w:rsidRPr="00615C49">
            <w:t>Click or tap to enter a date</w:t>
          </w:r>
          <w:r>
            <w:t>, or click to manually type custom date]</w:t>
          </w:r>
        </w:p>
      </w:docPartBody>
    </w:docPart>
    <w:docPart>
      <w:docPartPr>
        <w:name w:val="2D069FF497B14A1C9AABCCE6349E463B"/>
        <w:category>
          <w:name w:val="General"/>
          <w:gallery w:val="placeholder"/>
        </w:category>
        <w:types>
          <w:type w:val="bbPlcHdr"/>
        </w:types>
        <w:behaviors>
          <w:behavior w:val="content"/>
        </w:behaviors>
        <w:guid w:val="{14652D62-16D9-46E9-A729-F99D915DA38F}"/>
      </w:docPartPr>
      <w:docPartBody>
        <w:p w:rsidR="00657149" w:rsidRDefault="00FC2C89">
          <w:pPr>
            <w:pStyle w:val="2D069FF497B14A1C9AABCCE6349E463B"/>
          </w:pPr>
          <w:r w:rsidRPr="005F3D90">
            <w:rPr>
              <w:highlight w:val="lightGray"/>
            </w:rPr>
            <w:t xml:space="preserve">[Click to select </w:t>
          </w:r>
          <w:r>
            <w:rPr>
              <w:highlight w:val="lightGray"/>
            </w:rPr>
            <w:t>a date</w:t>
          </w:r>
          <w:r w:rsidRPr="005F3D90">
            <w:rPr>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E6"/>
    <w:rsid w:val="000600F2"/>
    <w:rsid w:val="001054C8"/>
    <w:rsid w:val="001469D0"/>
    <w:rsid w:val="0016033F"/>
    <w:rsid w:val="001829B8"/>
    <w:rsid w:val="00183415"/>
    <w:rsid w:val="001A018D"/>
    <w:rsid w:val="001A0199"/>
    <w:rsid w:val="001C405D"/>
    <w:rsid w:val="002128B9"/>
    <w:rsid w:val="002C01C1"/>
    <w:rsid w:val="002C2361"/>
    <w:rsid w:val="003076D9"/>
    <w:rsid w:val="003451ED"/>
    <w:rsid w:val="00357080"/>
    <w:rsid w:val="003C5EC4"/>
    <w:rsid w:val="00420ECA"/>
    <w:rsid w:val="0042743E"/>
    <w:rsid w:val="00430CB7"/>
    <w:rsid w:val="0043705B"/>
    <w:rsid w:val="00441309"/>
    <w:rsid w:val="004859EF"/>
    <w:rsid w:val="004D54E1"/>
    <w:rsid w:val="004F320C"/>
    <w:rsid w:val="005347B1"/>
    <w:rsid w:val="00535D9F"/>
    <w:rsid w:val="00555096"/>
    <w:rsid w:val="00587670"/>
    <w:rsid w:val="005B1AA2"/>
    <w:rsid w:val="00605CF6"/>
    <w:rsid w:val="006274CA"/>
    <w:rsid w:val="00657149"/>
    <w:rsid w:val="00665A43"/>
    <w:rsid w:val="006745BC"/>
    <w:rsid w:val="006C00EF"/>
    <w:rsid w:val="006C1F61"/>
    <w:rsid w:val="007052AC"/>
    <w:rsid w:val="00747553"/>
    <w:rsid w:val="007B76B0"/>
    <w:rsid w:val="0085361E"/>
    <w:rsid w:val="008B0C19"/>
    <w:rsid w:val="008C4DE6"/>
    <w:rsid w:val="00910345"/>
    <w:rsid w:val="00947211"/>
    <w:rsid w:val="009A4866"/>
    <w:rsid w:val="00A76B92"/>
    <w:rsid w:val="00A8189F"/>
    <w:rsid w:val="00AA2D2F"/>
    <w:rsid w:val="00AC506D"/>
    <w:rsid w:val="00AE3665"/>
    <w:rsid w:val="00AE4269"/>
    <w:rsid w:val="00B92761"/>
    <w:rsid w:val="00BB4C37"/>
    <w:rsid w:val="00BC5E8A"/>
    <w:rsid w:val="00BE7A7D"/>
    <w:rsid w:val="00BF1EF2"/>
    <w:rsid w:val="00C25E2E"/>
    <w:rsid w:val="00CA4C5B"/>
    <w:rsid w:val="00CF6E25"/>
    <w:rsid w:val="00CF70E6"/>
    <w:rsid w:val="00D2744C"/>
    <w:rsid w:val="00D80479"/>
    <w:rsid w:val="00E36EDB"/>
    <w:rsid w:val="00E91E00"/>
    <w:rsid w:val="00EA0B2B"/>
    <w:rsid w:val="00EA52C7"/>
    <w:rsid w:val="00EA6110"/>
    <w:rsid w:val="00F209D3"/>
    <w:rsid w:val="00F91F7C"/>
    <w:rsid w:val="00FA69C7"/>
    <w:rsid w:val="00FA7475"/>
    <w:rsid w:val="00FC2C89"/>
    <w:rsid w:val="00FE02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151021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6D8CCC9534309B9B5E9DB9F905536">
    <w:name w:val="0B26D8CCC9534309B9B5E9DB9F905536"/>
  </w:style>
  <w:style w:type="paragraph" w:customStyle="1" w:styleId="CD34D51FC7ED4B339ADA211D80BD0736">
    <w:name w:val="CD34D51FC7ED4B339ADA211D80BD0736"/>
  </w:style>
  <w:style w:type="character" w:styleId="PlaceholderText">
    <w:name w:val="Placeholder Text"/>
    <w:basedOn w:val="DefaultParagraphFont"/>
    <w:uiPriority w:val="99"/>
    <w:semiHidden/>
    <w:rPr>
      <w:color w:val="808080"/>
    </w:rPr>
  </w:style>
  <w:style w:type="paragraph" w:customStyle="1" w:styleId="F0144DCCD14F4430B410C534DEC49CFC">
    <w:name w:val="F0144DCCD14F4430B410C534DEC49CFC"/>
  </w:style>
  <w:style w:type="paragraph" w:customStyle="1" w:styleId="C3B5F2BDCEE444C89923D06CD3C3F258">
    <w:name w:val="C3B5F2BDCEE444C89923D06CD3C3F258"/>
  </w:style>
  <w:style w:type="paragraph" w:customStyle="1" w:styleId="AED240F9F4284DE780CFD1F88DF04FC6">
    <w:name w:val="AED240F9F4284DE780CFD1F88DF04FC6"/>
  </w:style>
  <w:style w:type="paragraph" w:customStyle="1" w:styleId="930D09F6A6A34FC6A8C8F9F23AF8CC6B">
    <w:name w:val="930D09F6A6A34FC6A8C8F9F23AF8CC6B"/>
    <w:pPr>
      <w:spacing w:line="278" w:lineRule="auto"/>
    </w:pPr>
    <w:rPr>
      <w:kern w:val="2"/>
      <w:sz w:val="24"/>
      <w:szCs w:val="24"/>
      <w14:ligatures w14:val="standardContextual"/>
    </w:rPr>
  </w:style>
  <w:style w:type="paragraph" w:customStyle="1" w:styleId="834F06C6F49A4A6A95079B7FA0B0CB7A">
    <w:name w:val="834F06C6F49A4A6A95079B7FA0B0CB7A"/>
    <w:pPr>
      <w:spacing w:line="278" w:lineRule="auto"/>
    </w:pPr>
    <w:rPr>
      <w:kern w:val="2"/>
      <w:sz w:val="24"/>
      <w:szCs w:val="24"/>
      <w14:ligatures w14:val="standardContextual"/>
    </w:rPr>
  </w:style>
  <w:style w:type="paragraph" w:customStyle="1" w:styleId="1036161D62E143488B3A37EAF6B7605D">
    <w:name w:val="1036161D62E143488B3A37EAF6B7605D"/>
    <w:pPr>
      <w:spacing w:line="278" w:lineRule="auto"/>
    </w:pPr>
    <w:rPr>
      <w:kern w:val="2"/>
      <w:sz w:val="24"/>
      <w:szCs w:val="24"/>
      <w14:ligatures w14:val="standardContextual"/>
    </w:rPr>
  </w:style>
  <w:style w:type="paragraph" w:customStyle="1" w:styleId="8C51EE57D5C1425FAB19C3A80FCA41FF">
    <w:name w:val="8C51EE57D5C1425FAB19C3A80FCA41FF"/>
    <w:pPr>
      <w:spacing w:line="278" w:lineRule="auto"/>
    </w:pPr>
    <w:rPr>
      <w:kern w:val="2"/>
      <w:sz w:val="24"/>
      <w:szCs w:val="24"/>
      <w14:ligatures w14:val="standardContextual"/>
    </w:rPr>
  </w:style>
  <w:style w:type="paragraph" w:customStyle="1" w:styleId="7DEA0B61CCDE4F55AAFD0271676C1294">
    <w:name w:val="7DEA0B61CCDE4F55AAFD0271676C1294"/>
    <w:pPr>
      <w:spacing w:line="278" w:lineRule="auto"/>
    </w:pPr>
    <w:rPr>
      <w:kern w:val="2"/>
      <w:sz w:val="24"/>
      <w:szCs w:val="24"/>
      <w14:ligatures w14:val="standardContextual"/>
    </w:rPr>
  </w:style>
  <w:style w:type="paragraph" w:customStyle="1" w:styleId="2D069FF497B14A1C9AABCCE6349E463B">
    <w:name w:val="2D069FF497B14A1C9AABCCE6349E46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127C79C8C0846B45AE972E687F476" ma:contentTypeVersion="12" ma:contentTypeDescription="Create a new document." ma:contentTypeScope="" ma:versionID="050a30a5504b925abcf8d18b1472d35e">
  <xsd:schema xmlns:xsd="http://www.w3.org/2001/XMLSchema" xmlns:xs="http://www.w3.org/2001/XMLSchema" xmlns:p="http://schemas.microsoft.com/office/2006/metadata/properties" xmlns:ns2="e4c185e8-40b5-43f5-a4f7-fd23d7c61be2" xmlns:ns3="62c92398-2d1f-4a78-a539-4a4aa580f663" targetNamespace="http://schemas.microsoft.com/office/2006/metadata/properties" ma:root="true" ma:fieldsID="8fe39f6512e1f5475d74e1509e866871" ns2:_="" ns3:_="">
    <xsd:import namespace="e4c185e8-40b5-43f5-a4f7-fd23d7c61be2"/>
    <xsd:import namespace="62c92398-2d1f-4a78-a539-4a4aa580f6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185e8-40b5-43f5-a4f7-fd23d7c61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92398-2d1f-4a78-a539-4a4aa580f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c185e8-40b5-43f5-a4f7-fd23d7c61be2">
      <Terms xmlns="http://schemas.microsoft.com/office/infopath/2007/PartnerControls"/>
    </lcf76f155ced4ddcb4097134ff3c332f>
    <SharedWithUsers xmlns="62c92398-2d1f-4a78-a539-4a4aa580f663">
      <UserInfo>
        <DisplayName>Dean Wickenton (ESC)</DisplayName>
        <AccountId>13</AccountId>
        <AccountType/>
      </UserInfo>
      <UserInfo>
        <DisplayName>Marcus Crudden (ESC)</DisplayName>
        <AccountId>14</AccountId>
        <AccountType/>
      </UserInfo>
      <UserInfo>
        <DisplayName>Sonia Madamba (ESC)</DisplayName>
        <AccountId>17</AccountId>
        <AccountType/>
      </UserInfo>
      <UserInfo>
        <DisplayName>Danielle Martinson (ESC)</DisplayName>
        <AccountId>44</AccountId>
        <AccountType/>
      </UserInfo>
      <UserInfo>
        <DisplayName>Kean Chan (ESC)</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0AC50-EC6E-4FCB-B4FD-000C168CA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185e8-40b5-43f5-a4f7-fd23d7c61be2"/>
    <ds:schemaRef ds:uri="62c92398-2d1f-4a78-a539-4a4aa580f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5007B-B1C7-4C7F-9711-AEF8D41046D5}">
  <ds:schemaRefs>
    <ds:schemaRef ds:uri="http://schemas.microsoft.com/sharepoint/v3/contenttype/forms"/>
  </ds:schemaRefs>
</ds:datastoreItem>
</file>

<file path=customXml/itemProps3.xml><?xml version="1.0" encoding="utf-8"?>
<ds:datastoreItem xmlns:ds="http://schemas.openxmlformats.org/officeDocument/2006/customXml" ds:itemID="{20ABB06C-62E3-443D-A950-BB88942BD9B9}">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62c92398-2d1f-4a78-a539-4a4aa580f663"/>
    <ds:schemaRef ds:uri="e4c185e8-40b5-43f5-a4f7-fd23d7c61be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12109</Words>
  <Characters>69027</Characters>
  <Application>Microsoft Office Word</Application>
  <DocSecurity>0</DocSecurity>
  <Lines>575</Lines>
  <Paragraphs>161</Paragraphs>
  <ScaleCrop>false</ScaleCrop>
  <Company/>
  <LinksUpToDate>false</LinksUpToDate>
  <CharactersWithSpaces>80975</CharactersWithSpaces>
  <SharedDoc>false</SharedDoc>
  <HLinks>
    <vt:vector size="162" baseType="variant">
      <vt:variant>
        <vt:i4>7340117</vt:i4>
      </vt:variant>
      <vt:variant>
        <vt:i4>132</vt:i4>
      </vt:variant>
      <vt:variant>
        <vt:i4>0</vt:i4>
      </vt:variant>
      <vt:variant>
        <vt:i4>5</vt:i4>
      </vt:variant>
      <vt:variant>
        <vt:lpwstr>mailto:water@esc.vic.gov.au</vt:lpwstr>
      </vt:variant>
      <vt:variant>
        <vt:lpwstr/>
      </vt:variant>
      <vt:variant>
        <vt:i4>4718665</vt:i4>
      </vt:variant>
      <vt:variant>
        <vt:i4>129</vt:i4>
      </vt:variant>
      <vt:variant>
        <vt:i4>0</vt:i4>
      </vt:variant>
      <vt:variant>
        <vt:i4>5</vt:i4>
      </vt:variant>
      <vt:variant>
        <vt:lpwstr>https://www.esc.vic.gov.au/water/water-prices-tariffs-and-special-drainage/water-price-reviews/water-price-review-2023</vt:lpwstr>
      </vt:variant>
      <vt:variant>
        <vt:lpwstr>tabs-container2</vt:lpwstr>
      </vt:variant>
      <vt:variant>
        <vt:i4>1179704</vt:i4>
      </vt:variant>
      <vt:variant>
        <vt:i4>122</vt:i4>
      </vt:variant>
      <vt:variant>
        <vt:i4>0</vt:i4>
      </vt:variant>
      <vt:variant>
        <vt:i4>5</vt:i4>
      </vt:variant>
      <vt:variant>
        <vt:lpwstr/>
      </vt:variant>
      <vt:variant>
        <vt:lpwstr>_Toc174348994</vt:lpwstr>
      </vt:variant>
      <vt:variant>
        <vt:i4>1179704</vt:i4>
      </vt:variant>
      <vt:variant>
        <vt:i4>116</vt:i4>
      </vt:variant>
      <vt:variant>
        <vt:i4>0</vt:i4>
      </vt:variant>
      <vt:variant>
        <vt:i4>5</vt:i4>
      </vt:variant>
      <vt:variant>
        <vt:lpwstr/>
      </vt:variant>
      <vt:variant>
        <vt:lpwstr>_Toc174348990</vt:lpwstr>
      </vt:variant>
      <vt:variant>
        <vt:i4>1245240</vt:i4>
      </vt:variant>
      <vt:variant>
        <vt:i4>110</vt:i4>
      </vt:variant>
      <vt:variant>
        <vt:i4>0</vt:i4>
      </vt:variant>
      <vt:variant>
        <vt:i4>5</vt:i4>
      </vt:variant>
      <vt:variant>
        <vt:lpwstr/>
      </vt:variant>
      <vt:variant>
        <vt:lpwstr>_Toc174348989</vt:lpwstr>
      </vt:variant>
      <vt:variant>
        <vt:i4>1245240</vt:i4>
      </vt:variant>
      <vt:variant>
        <vt:i4>104</vt:i4>
      </vt:variant>
      <vt:variant>
        <vt:i4>0</vt:i4>
      </vt:variant>
      <vt:variant>
        <vt:i4>5</vt:i4>
      </vt:variant>
      <vt:variant>
        <vt:lpwstr/>
      </vt:variant>
      <vt:variant>
        <vt:lpwstr>_Toc174348981</vt:lpwstr>
      </vt:variant>
      <vt:variant>
        <vt:i4>1835064</vt:i4>
      </vt:variant>
      <vt:variant>
        <vt:i4>98</vt:i4>
      </vt:variant>
      <vt:variant>
        <vt:i4>0</vt:i4>
      </vt:variant>
      <vt:variant>
        <vt:i4>5</vt:i4>
      </vt:variant>
      <vt:variant>
        <vt:lpwstr/>
      </vt:variant>
      <vt:variant>
        <vt:lpwstr>_Toc174348978</vt:lpwstr>
      </vt:variant>
      <vt:variant>
        <vt:i4>1835064</vt:i4>
      </vt:variant>
      <vt:variant>
        <vt:i4>92</vt:i4>
      </vt:variant>
      <vt:variant>
        <vt:i4>0</vt:i4>
      </vt:variant>
      <vt:variant>
        <vt:i4>5</vt:i4>
      </vt:variant>
      <vt:variant>
        <vt:lpwstr/>
      </vt:variant>
      <vt:variant>
        <vt:lpwstr>_Toc174348977</vt:lpwstr>
      </vt:variant>
      <vt:variant>
        <vt:i4>1835064</vt:i4>
      </vt:variant>
      <vt:variant>
        <vt:i4>86</vt:i4>
      </vt:variant>
      <vt:variant>
        <vt:i4>0</vt:i4>
      </vt:variant>
      <vt:variant>
        <vt:i4>5</vt:i4>
      </vt:variant>
      <vt:variant>
        <vt:lpwstr/>
      </vt:variant>
      <vt:variant>
        <vt:lpwstr>_Toc174348976</vt:lpwstr>
      </vt:variant>
      <vt:variant>
        <vt:i4>1835064</vt:i4>
      </vt:variant>
      <vt:variant>
        <vt:i4>80</vt:i4>
      </vt:variant>
      <vt:variant>
        <vt:i4>0</vt:i4>
      </vt:variant>
      <vt:variant>
        <vt:i4>5</vt:i4>
      </vt:variant>
      <vt:variant>
        <vt:lpwstr/>
      </vt:variant>
      <vt:variant>
        <vt:lpwstr>_Toc174348975</vt:lpwstr>
      </vt:variant>
      <vt:variant>
        <vt:i4>1835064</vt:i4>
      </vt:variant>
      <vt:variant>
        <vt:i4>74</vt:i4>
      </vt:variant>
      <vt:variant>
        <vt:i4>0</vt:i4>
      </vt:variant>
      <vt:variant>
        <vt:i4>5</vt:i4>
      </vt:variant>
      <vt:variant>
        <vt:lpwstr/>
      </vt:variant>
      <vt:variant>
        <vt:lpwstr>_Toc174348974</vt:lpwstr>
      </vt:variant>
      <vt:variant>
        <vt:i4>1835064</vt:i4>
      </vt:variant>
      <vt:variant>
        <vt:i4>68</vt:i4>
      </vt:variant>
      <vt:variant>
        <vt:i4>0</vt:i4>
      </vt:variant>
      <vt:variant>
        <vt:i4>5</vt:i4>
      </vt:variant>
      <vt:variant>
        <vt:lpwstr/>
      </vt:variant>
      <vt:variant>
        <vt:lpwstr>_Toc174348973</vt:lpwstr>
      </vt:variant>
      <vt:variant>
        <vt:i4>1835064</vt:i4>
      </vt:variant>
      <vt:variant>
        <vt:i4>62</vt:i4>
      </vt:variant>
      <vt:variant>
        <vt:i4>0</vt:i4>
      </vt:variant>
      <vt:variant>
        <vt:i4>5</vt:i4>
      </vt:variant>
      <vt:variant>
        <vt:lpwstr/>
      </vt:variant>
      <vt:variant>
        <vt:lpwstr>_Toc174348972</vt:lpwstr>
      </vt:variant>
      <vt:variant>
        <vt:i4>1835064</vt:i4>
      </vt:variant>
      <vt:variant>
        <vt:i4>56</vt:i4>
      </vt:variant>
      <vt:variant>
        <vt:i4>0</vt:i4>
      </vt:variant>
      <vt:variant>
        <vt:i4>5</vt:i4>
      </vt:variant>
      <vt:variant>
        <vt:lpwstr/>
      </vt:variant>
      <vt:variant>
        <vt:lpwstr>_Toc174348971</vt:lpwstr>
      </vt:variant>
      <vt:variant>
        <vt:i4>1835064</vt:i4>
      </vt:variant>
      <vt:variant>
        <vt:i4>50</vt:i4>
      </vt:variant>
      <vt:variant>
        <vt:i4>0</vt:i4>
      </vt:variant>
      <vt:variant>
        <vt:i4>5</vt:i4>
      </vt:variant>
      <vt:variant>
        <vt:lpwstr/>
      </vt:variant>
      <vt:variant>
        <vt:lpwstr>_Toc174348970</vt:lpwstr>
      </vt:variant>
      <vt:variant>
        <vt:i4>1900600</vt:i4>
      </vt:variant>
      <vt:variant>
        <vt:i4>44</vt:i4>
      </vt:variant>
      <vt:variant>
        <vt:i4>0</vt:i4>
      </vt:variant>
      <vt:variant>
        <vt:i4>5</vt:i4>
      </vt:variant>
      <vt:variant>
        <vt:lpwstr/>
      </vt:variant>
      <vt:variant>
        <vt:lpwstr>_Toc174348969</vt:lpwstr>
      </vt:variant>
      <vt:variant>
        <vt:i4>1900600</vt:i4>
      </vt:variant>
      <vt:variant>
        <vt:i4>38</vt:i4>
      </vt:variant>
      <vt:variant>
        <vt:i4>0</vt:i4>
      </vt:variant>
      <vt:variant>
        <vt:i4>5</vt:i4>
      </vt:variant>
      <vt:variant>
        <vt:lpwstr/>
      </vt:variant>
      <vt:variant>
        <vt:lpwstr>_Toc174348968</vt:lpwstr>
      </vt:variant>
      <vt:variant>
        <vt:i4>1900600</vt:i4>
      </vt:variant>
      <vt:variant>
        <vt:i4>32</vt:i4>
      </vt:variant>
      <vt:variant>
        <vt:i4>0</vt:i4>
      </vt:variant>
      <vt:variant>
        <vt:i4>5</vt:i4>
      </vt:variant>
      <vt:variant>
        <vt:lpwstr/>
      </vt:variant>
      <vt:variant>
        <vt:lpwstr>_Toc174348967</vt:lpwstr>
      </vt:variant>
      <vt:variant>
        <vt:i4>1900600</vt:i4>
      </vt:variant>
      <vt:variant>
        <vt:i4>26</vt:i4>
      </vt:variant>
      <vt:variant>
        <vt:i4>0</vt:i4>
      </vt:variant>
      <vt:variant>
        <vt:i4>5</vt:i4>
      </vt:variant>
      <vt:variant>
        <vt:lpwstr/>
      </vt:variant>
      <vt:variant>
        <vt:lpwstr>_Toc174348961</vt:lpwstr>
      </vt:variant>
      <vt:variant>
        <vt:i4>1966136</vt:i4>
      </vt:variant>
      <vt:variant>
        <vt:i4>20</vt:i4>
      </vt:variant>
      <vt:variant>
        <vt:i4>0</vt:i4>
      </vt:variant>
      <vt:variant>
        <vt:i4>5</vt:i4>
      </vt:variant>
      <vt:variant>
        <vt:lpwstr/>
      </vt:variant>
      <vt:variant>
        <vt:lpwstr>_Toc174348958</vt:lpwstr>
      </vt:variant>
      <vt:variant>
        <vt:i4>1966136</vt:i4>
      </vt:variant>
      <vt:variant>
        <vt:i4>14</vt:i4>
      </vt:variant>
      <vt:variant>
        <vt:i4>0</vt:i4>
      </vt:variant>
      <vt:variant>
        <vt:i4>5</vt:i4>
      </vt:variant>
      <vt:variant>
        <vt:lpwstr/>
      </vt:variant>
      <vt:variant>
        <vt:lpwstr>_Toc174348950</vt:lpwstr>
      </vt:variant>
      <vt:variant>
        <vt:i4>2031672</vt:i4>
      </vt:variant>
      <vt:variant>
        <vt:i4>8</vt:i4>
      </vt:variant>
      <vt:variant>
        <vt:i4>0</vt:i4>
      </vt:variant>
      <vt:variant>
        <vt:i4>5</vt:i4>
      </vt:variant>
      <vt:variant>
        <vt:lpwstr/>
      </vt:variant>
      <vt:variant>
        <vt:lpwstr>_Toc174348945</vt:lpwstr>
      </vt:variant>
      <vt:variant>
        <vt:i4>2031672</vt:i4>
      </vt:variant>
      <vt:variant>
        <vt:i4>2</vt:i4>
      </vt:variant>
      <vt:variant>
        <vt:i4>0</vt:i4>
      </vt:variant>
      <vt:variant>
        <vt:i4>5</vt:i4>
      </vt:variant>
      <vt:variant>
        <vt:lpwstr/>
      </vt:variant>
      <vt:variant>
        <vt:lpwstr>_Toc174348944</vt:lpwstr>
      </vt:variant>
      <vt:variant>
        <vt:i4>5636115</vt:i4>
      </vt:variant>
      <vt:variant>
        <vt:i4>9</vt:i4>
      </vt:variant>
      <vt:variant>
        <vt:i4>0</vt:i4>
      </vt:variant>
      <vt:variant>
        <vt:i4>5</vt:i4>
      </vt:variant>
      <vt:variant>
        <vt:lpwstr>https://www.dcceew.gov.au/sites/default/files/sitecollectiondocuments/water/national-water-initiative-pricing-principles.pdf</vt:lpwstr>
      </vt:variant>
      <vt:variant>
        <vt:lpwstr/>
      </vt:variant>
      <vt:variant>
        <vt:i4>2162720</vt:i4>
      </vt:variant>
      <vt:variant>
        <vt:i4>6</vt:i4>
      </vt:variant>
      <vt:variant>
        <vt:i4>0</vt:i4>
      </vt:variant>
      <vt:variant>
        <vt:i4>5</vt:i4>
      </vt:variant>
      <vt:variant>
        <vt:lpwstr>https://www.esc.vic.gov.au/sites/default/files/documents/CNP- NCC Guidance paper %28v15%29.pdf</vt:lpwstr>
      </vt:variant>
      <vt:variant>
        <vt:lpwstr/>
      </vt:variant>
      <vt:variant>
        <vt:i4>2162720</vt:i4>
      </vt:variant>
      <vt:variant>
        <vt:i4>3</vt:i4>
      </vt:variant>
      <vt:variant>
        <vt:i4>0</vt:i4>
      </vt:variant>
      <vt:variant>
        <vt:i4>5</vt:i4>
      </vt:variant>
      <vt:variant>
        <vt:lpwstr>https://www.esc.vic.gov.au/sites/default/files/documents/CNP- NCC Guidance paper %28v15%29.pdf</vt:lpwstr>
      </vt:variant>
      <vt:variant>
        <vt:lpwstr/>
      </vt:variant>
      <vt:variant>
        <vt:i4>2162720</vt:i4>
      </vt:variant>
      <vt:variant>
        <vt:i4>0</vt:i4>
      </vt:variant>
      <vt:variant>
        <vt:i4>0</vt:i4>
      </vt:variant>
      <vt:variant>
        <vt:i4>5</vt:i4>
      </vt:variant>
      <vt:variant>
        <vt:lpwstr>https://www.esc.vic.gov.au/sites/default/files/documents/CNP- NCC Guidance paper %28v15%29.pdf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Customer Contributions</dc:title>
  <dc:subject/>
  <dc:creator>Sonia Madamba (ESC)</dc:creator>
  <cp:keywords>[SEC=OFFICIAL]</cp:keywords>
  <dc:description>Consultation paper</dc:description>
  <cp:lastModifiedBy>John Kalu (ESC)</cp:lastModifiedBy>
  <cp:revision>2</cp:revision>
  <cp:lastPrinted>2024-08-12T05:53:00Z</cp:lastPrinted>
  <dcterms:created xsi:type="dcterms:W3CDTF">2024-08-13T07:39:00Z</dcterms:created>
  <dcterms:modified xsi:type="dcterms:W3CDTF">2024-08-13T07:39:00Z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0x0101009AE127C79C8C0846B45AE972E687F476</vt:lpwstr>
  </property>
  <property fmtid="{D5CDD505-2E9C-101B-9397-08002B2CF9AE}" pid="3" name="MediaServiceImageTags">
    <vt:lpwstr/>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9166ED2ED6B84262AC5F311557FB85DC</vt:lpwstr>
  </property>
  <property fmtid="{D5CDD505-2E9C-101B-9397-08002B2CF9AE}" pid="11" name="PM_ProtectiveMarkingValue_Footer">
    <vt:lpwstr>OFFICIAL</vt:lpwstr>
  </property>
  <property fmtid="{D5CDD505-2E9C-101B-9397-08002B2CF9AE}" pid="12" name="PM_OriginationTimeStamp">
    <vt:lpwstr>2024-03-06T03:11:11Z</vt:lpwstr>
  </property>
  <property fmtid="{D5CDD505-2E9C-101B-9397-08002B2CF9AE}" pid="13" name="PM_ProtectiveMarkingValue_Header">
    <vt:lpwstr>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Uuid">
    <vt:lpwstr>v=2022.2;d=vic.gov.au;g=0BC0AFEB-CD42-5391-A624-A890967918FF</vt:lpwstr>
  </property>
  <property fmtid="{D5CDD505-2E9C-101B-9397-08002B2CF9AE}" pid="24" name="PM_Hash_Version">
    <vt:lpwstr>2022.1</vt:lpwstr>
  </property>
  <property fmtid="{D5CDD505-2E9C-101B-9397-08002B2CF9AE}" pid="25" name="PM_Originator_Hash_SHA1">
    <vt:lpwstr>DC0E82AEE7D42845E448552FC7F6A98F04299B2D</vt:lpwstr>
  </property>
  <property fmtid="{D5CDD505-2E9C-101B-9397-08002B2CF9AE}" pid="26" name="PM_OriginatorUserAccountName_SHA256">
    <vt:lpwstr>CF1AE2C72737CBB394F4663505BD8CAB6C08EF63F01B37230FFA356486AB0FA9</vt:lpwstr>
  </property>
  <property fmtid="{D5CDD505-2E9C-101B-9397-08002B2CF9AE}" pid="27" name="PM_Hash_Salt_Prev">
    <vt:lpwstr>B714066969FFA4B7BAB4FEAAD514B1B4</vt:lpwstr>
  </property>
  <property fmtid="{D5CDD505-2E9C-101B-9397-08002B2CF9AE}" pid="28" name="PM_Hash_Salt">
    <vt:lpwstr>80DA0C3BA827F7039AB08DFFF726EFAF</vt:lpwstr>
  </property>
  <property fmtid="{D5CDD505-2E9C-101B-9397-08002B2CF9AE}" pid="29" name="PM_Hash_SHA1">
    <vt:lpwstr>1DACD7FF8A5C7F4294BEAD81D56A54E3474C1BC6</vt:lpwstr>
  </property>
  <property fmtid="{D5CDD505-2E9C-101B-9397-08002B2CF9AE}" pid="30" name="PMHMAC">
    <vt:lpwstr>v=2022.1;a=SHA256;h=B670E0019C6EDB101A82E8828D36028FE3947EAFAB000A32F46F69F1BEC2AC63</vt:lpwstr>
  </property>
</Properties>
</file>