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C74A8" w14:textId="5ECEE358" w:rsidR="00F47A87" w:rsidRDefault="00F76A0B" w:rsidP="00DE2802">
      <w:pPr>
        <w:pStyle w:val="Heading1"/>
        <w:spacing w:after="240"/>
      </w:pPr>
      <w:r>
        <w:t xml:space="preserve">Annex </w:t>
      </w:r>
      <w:r w:rsidR="00D75C0C">
        <w:t>B</w:t>
      </w:r>
      <w:r w:rsidR="005643BA">
        <w:t>: Post consultation changes – summary table</w:t>
      </w:r>
    </w:p>
    <w:p w14:paraId="1C7D7108" w14:textId="1728A8A9" w:rsidR="006B32BE" w:rsidRDefault="00F47A87" w:rsidP="00DE2802">
      <w:pPr>
        <w:pStyle w:val="Heading2"/>
        <w:spacing w:after="120"/>
      </w:pPr>
      <w:r>
        <w:t>Summary of final changes made to electricity transmission licences</w:t>
      </w:r>
    </w:p>
    <w:p w14:paraId="7CD71934" w14:textId="46BA1E25" w:rsidR="001C750A" w:rsidRPr="00925A5F" w:rsidRDefault="006B32BE" w:rsidP="00B3311D">
      <w:pPr>
        <w:pStyle w:val="Heading2"/>
        <w:spacing w:after="120"/>
        <w:rPr>
          <w:rFonts w:asciiTheme="minorHAnsi" w:eastAsiaTheme="minorHAnsi" w:hAnsiTheme="minorHAnsi" w:cstheme="minorBidi"/>
          <w:b w:val="0"/>
          <w:sz w:val="22"/>
          <w:szCs w:val="22"/>
        </w:rPr>
      </w:pPr>
      <w:r w:rsidRPr="00925A5F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This table should be read alongside </w:t>
      </w:r>
      <w:r w:rsidR="00254D18" w:rsidRPr="00925A5F">
        <w:rPr>
          <w:rFonts w:asciiTheme="minorHAnsi" w:eastAsiaTheme="minorHAnsi" w:hAnsiTheme="minorHAnsi" w:cstheme="minorBidi"/>
          <w:b w:val="0"/>
          <w:sz w:val="22"/>
          <w:szCs w:val="22"/>
        </w:rPr>
        <w:t>Annex B – Proposed Variations to Electricity</w:t>
      </w:r>
      <w:r w:rsidR="000C6E4E" w:rsidRPr="00925A5F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Licences, released as part of the Revoking the Electricity System Code draft decision</w:t>
      </w:r>
      <w:r w:rsidR="00453818">
        <w:rPr>
          <w:rFonts w:asciiTheme="minorHAnsi" w:eastAsiaTheme="minorHAnsi" w:hAnsiTheme="minorHAnsi" w:cstheme="minorBidi"/>
          <w:b w:val="0"/>
          <w:sz w:val="22"/>
          <w:szCs w:val="22"/>
        </w:rPr>
        <w:t>.</w:t>
      </w:r>
      <w:r w:rsidR="00276E90" w:rsidRPr="003A0D2E">
        <w:rPr>
          <w:rFonts w:asciiTheme="minorHAnsi" w:eastAsiaTheme="minorHAnsi" w:hAnsiTheme="minorHAnsi" w:cstheme="minorBidi"/>
          <w:b w:val="0"/>
          <w:sz w:val="22"/>
          <w:szCs w:val="22"/>
          <w:vertAlign w:val="superscript"/>
        </w:rPr>
        <w:footnoteReference w:id="2"/>
      </w:r>
      <w:r w:rsidR="000C6E4E" w:rsidRPr="00925A5F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</w:t>
      </w:r>
      <w:r w:rsidR="008A6A4C" w:rsidRPr="00925A5F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Where amendments are not identified there </w:t>
      </w:r>
      <w:r w:rsidR="003744C3">
        <w:rPr>
          <w:rFonts w:asciiTheme="minorHAnsi" w:eastAsiaTheme="minorHAnsi" w:hAnsiTheme="minorHAnsi" w:cstheme="minorBidi"/>
          <w:b w:val="0"/>
          <w:sz w:val="22"/>
          <w:szCs w:val="22"/>
        </w:rPr>
        <w:t>is</w:t>
      </w:r>
      <w:r w:rsidR="008A6A4C" w:rsidRPr="00925A5F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no change from the draft decision.</w:t>
      </w:r>
      <w:r w:rsidR="00F47A87" w:rsidRPr="00925A5F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8"/>
        <w:gridCol w:w="10552"/>
      </w:tblGrid>
      <w:tr w:rsidR="00F47A87" w14:paraId="08B068A3" w14:textId="77777777" w:rsidTr="00B33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54" w:type="dxa"/>
          </w:tcPr>
          <w:p w14:paraId="7953ACAA" w14:textId="7122A492" w:rsidR="00F47A87" w:rsidRDefault="00F47A87" w:rsidP="003A0D2E">
            <w:pPr>
              <w:pStyle w:val="TableHeading"/>
            </w:pPr>
            <w:r>
              <w:t>Clause</w:t>
            </w:r>
          </w:p>
        </w:tc>
        <w:tc>
          <w:tcPr>
            <w:tcW w:w="10658" w:type="dxa"/>
          </w:tcPr>
          <w:p w14:paraId="1A13E7CD" w14:textId="1461C7E4" w:rsidR="00F47A87" w:rsidRDefault="00F47A87" w:rsidP="003A0D2E">
            <w:pPr>
              <w:pStyle w:val="TableHeading"/>
            </w:pPr>
            <w:r>
              <w:t>Amendment</w:t>
            </w:r>
          </w:p>
        </w:tc>
      </w:tr>
      <w:tr w:rsidR="00F47A87" w14:paraId="5E2FB646" w14:textId="77777777" w:rsidTr="00B3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54" w:type="dxa"/>
          </w:tcPr>
          <w:p w14:paraId="72AADB6D" w14:textId="03A3FDD0" w:rsidR="00F47A87" w:rsidRDefault="00F47A87" w:rsidP="00F47A87">
            <w:r>
              <w:t>1. Definitions</w:t>
            </w:r>
          </w:p>
        </w:tc>
        <w:tc>
          <w:tcPr>
            <w:tcW w:w="10658" w:type="dxa"/>
          </w:tcPr>
          <w:p w14:paraId="58A0CFA5" w14:textId="6D233C11" w:rsidR="00F47A87" w:rsidRDefault="00F47A87" w:rsidP="00D9030F">
            <w:pPr>
              <w:pStyle w:val="TableBody"/>
              <w:numPr>
                <w:ilvl w:val="0"/>
                <w:numId w:val="35"/>
              </w:numPr>
            </w:pPr>
            <w:r w:rsidRPr="003744C3">
              <w:rPr>
                <w:b/>
                <w:bCs/>
              </w:rPr>
              <w:t>Third Party</w:t>
            </w:r>
            <w:r>
              <w:rPr>
                <w:i/>
                <w:iCs/>
              </w:rPr>
              <w:t>:</w:t>
            </w:r>
            <w:r w:rsidR="001F6F4C">
              <w:rPr>
                <w:i/>
                <w:iCs/>
              </w:rPr>
              <w:t xml:space="preserve"> </w:t>
            </w:r>
            <w:r w:rsidR="001F6F4C" w:rsidRPr="003B21A1">
              <w:t>Amended</w:t>
            </w:r>
            <w:r w:rsidR="001F6F4C">
              <w:rPr>
                <w:i/>
                <w:iCs/>
              </w:rPr>
              <w:t xml:space="preserve"> </w:t>
            </w:r>
            <w:r w:rsidR="001F6F4C">
              <w:t xml:space="preserve">to insert </w:t>
            </w:r>
            <w:r>
              <w:t xml:space="preserve">‘directly or indirectly’ in the definition of Third Party to </w:t>
            </w:r>
            <w:r w:rsidR="006B2327">
              <w:t>ackno</w:t>
            </w:r>
            <w:r w:rsidR="00A07D0D">
              <w:t xml:space="preserve">wledge that </w:t>
            </w:r>
            <w:r w:rsidR="009774BA">
              <w:t>Third Parties may be permitted to</w:t>
            </w:r>
            <w:r w:rsidR="0036111E">
              <w:t xml:space="preserve"> engage </w:t>
            </w:r>
            <w:r w:rsidR="00D10AE9">
              <w:t>subcontractors</w:t>
            </w:r>
            <w:r>
              <w:t xml:space="preserve">. </w:t>
            </w:r>
          </w:p>
          <w:p w14:paraId="02ABEE52" w14:textId="77777777" w:rsidR="00F441FE" w:rsidRDefault="00F441FE" w:rsidP="003744C3">
            <w:pPr>
              <w:pStyle w:val="TableBody"/>
            </w:pPr>
          </w:p>
          <w:p w14:paraId="47D575C4" w14:textId="59853ACA" w:rsidR="0036111E" w:rsidRDefault="00D4396C" w:rsidP="00D9030F">
            <w:pPr>
              <w:pStyle w:val="TableBody"/>
              <w:ind w:left="720"/>
              <w:rPr>
                <w:rFonts w:ascii="Arial" w:eastAsia="Arial" w:hAnsi="Arial" w:cs="Arial"/>
              </w:rPr>
            </w:pPr>
            <w:r w:rsidRPr="00D4396C">
              <w:rPr>
                <w:rFonts w:ascii="Arial" w:eastAsia="Arial" w:hAnsi="Arial" w:cs="Arial"/>
              </w:rPr>
              <w:t xml:space="preserve">The </w:t>
            </w:r>
            <w:r w:rsidR="004A03FF">
              <w:rPr>
                <w:rFonts w:ascii="Arial" w:eastAsia="Arial" w:hAnsi="Arial" w:cs="Arial"/>
              </w:rPr>
              <w:t>clauses</w:t>
            </w:r>
            <w:r w:rsidRPr="00D4396C">
              <w:rPr>
                <w:rFonts w:ascii="Arial" w:eastAsia="Arial" w:hAnsi="Arial" w:cs="Arial"/>
              </w:rPr>
              <w:t xml:space="preserve"> referencing third parties in the </w:t>
            </w:r>
            <w:proofErr w:type="spellStart"/>
            <w:r w:rsidRPr="00D4396C">
              <w:rPr>
                <w:rFonts w:ascii="Arial" w:eastAsia="Arial" w:hAnsi="Arial" w:cs="Arial"/>
              </w:rPr>
              <w:t>licence</w:t>
            </w:r>
            <w:proofErr w:type="spellEnd"/>
            <w:r w:rsidRPr="00D4396C">
              <w:rPr>
                <w:rFonts w:ascii="Arial" w:eastAsia="Arial" w:hAnsi="Arial" w:cs="Arial"/>
              </w:rPr>
              <w:t xml:space="preserve"> make it clear that ‘Licensed Activities’ can be undertaken by a third party, and the definition of </w:t>
            </w:r>
            <w:proofErr w:type="gramStart"/>
            <w:r w:rsidRPr="00D4396C">
              <w:rPr>
                <w:rFonts w:ascii="Arial" w:eastAsia="Arial" w:hAnsi="Arial" w:cs="Arial"/>
              </w:rPr>
              <w:t>third party</w:t>
            </w:r>
            <w:proofErr w:type="gramEnd"/>
            <w:r w:rsidRPr="00D4396C">
              <w:rPr>
                <w:rFonts w:ascii="Arial" w:eastAsia="Arial" w:hAnsi="Arial" w:cs="Arial"/>
              </w:rPr>
              <w:t xml:space="preserve"> states that the licensee can engage a third party either directly (e.g. a contractor) or indirectly (e.g., a subcontractor). These </w:t>
            </w:r>
            <w:r w:rsidR="004A03FF">
              <w:rPr>
                <w:rFonts w:ascii="Arial" w:eastAsia="Arial" w:hAnsi="Arial" w:cs="Arial"/>
              </w:rPr>
              <w:t>clauses</w:t>
            </w:r>
            <w:r w:rsidRPr="00D4396C">
              <w:rPr>
                <w:rFonts w:ascii="Arial" w:eastAsia="Arial" w:hAnsi="Arial" w:cs="Arial"/>
              </w:rPr>
              <w:t xml:space="preserve"> mean that regardless of whether the licensee engages a third party directly or indirectly, if a ‘Licensed Activity’ is being undertaken, the licensee is responsible for that activity</w:t>
            </w:r>
            <w:r w:rsidR="00436419">
              <w:rPr>
                <w:rFonts w:ascii="Arial" w:eastAsia="Arial" w:hAnsi="Arial" w:cs="Arial"/>
              </w:rPr>
              <w:t>. The</w:t>
            </w:r>
            <w:r w:rsidR="00F441FE" w:rsidRPr="00D60FA5">
              <w:rPr>
                <w:rFonts w:ascii="Arial" w:eastAsia="Arial" w:hAnsi="Arial" w:cs="Arial"/>
              </w:rPr>
              <w:t xml:space="preserve"> </w:t>
            </w:r>
            <w:r w:rsidR="00F441FE">
              <w:rPr>
                <w:rFonts w:ascii="Arial" w:eastAsia="Arial" w:hAnsi="Arial" w:cs="Arial"/>
              </w:rPr>
              <w:t>licensee</w:t>
            </w:r>
            <w:r w:rsidR="00CF6815">
              <w:rPr>
                <w:rFonts w:ascii="Arial" w:eastAsia="Arial" w:hAnsi="Arial" w:cs="Arial"/>
              </w:rPr>
              <w:t xml:space="preserve"> is responsible </w:t>
            </w:r>
            <w:r w:rsidR="00436419">
              <w:rPr>
                <w:rFonts w:ascii="Arial" w:eastAsia="Arial" w:hAnsi="Arial" w:cs="Arial"/>
              </w:rPr>
              <w:t>for</w:t>
            </w:r>
            <w:r w:rsidR="00F441FE" w:rsidRPr="00D60FA5">
              <w:rPr>
                <w:rFonts w:ascii="Arial" w:eastAsia="Arial" w:hAnsi="Arial" w:cs="Arial"/>
              </w:rPr>
              <w:t xml:space="preserve"> meet</w:t>
            </w:r>
            <w:r w:rsidR="00AB5389">
              <w:rPr>
                <w:rFonts w:ascii="Arial" w:eastAsia="Arial" w:hAnsi="Arial" w:cs="Arial"/>
              </w:rPr>
              <w:t>ing</w:t>
            </w:r>
            <w:r w:rsidR="00F441FE" w:rsidRPr="00D60FA5">
              <w:rPr>
                <w:rFonts w:ascii="Arial" w:eastAsia="Arial" w:hAnsi="Arial" w:cs="Arial"/>
              </w:rPr>
              <w:t xml:space="preserve"> the </w:t>
            </w:r>
            <w:proofErr w:type="spellStart"/>
            <w:r w:rsidR="00F441FE" w:rsidRPr="00D60FA5">
              <w:rPr>
                <w:rFonts w:ascii="Arial" w:eastAsia="Arial" w:hAnsi="Arial" w:cs="Arial"/>
              </w:rPr>
              <w:t>licence</w:t>
            </w:r>
            <w:proofErr w:type="spellEnd"/>
            <w:r w:rsidR="00F441FE" w:rsidRPr="00D60FA5">
              <w:rPr>
                <w:rFonts w:ascii="Arial" w:eastAsia="Arial" w:hAnsi="Arial" w:cs="Arial"/>
              </w:rPr>
              <w:t xml:space="preserve"> conditions and </w:t>
            </w:r>
            <w:r w:rsidR="008B0488" w:rsidRPr="003A0D2E">
              <w:rPr>
                <w:rFonts w:ascii="Arial" w:eastAsia="Arial" w:hAnsi="Arial" w:cs="Arial"/>
                <w:i/>
                <w:iCs/>
              </w:rPr>
              <w:t>Electricity Industry Act 2000</w:t>
            </w:r>
            <w:r w:rsidR="004F449F">
              <w:rPr>
                <w:rFonts w:ascii="Arial" w:eastAsia="Arial" w:hAnsi="Arial" w:cs="Arial"/>
              </w:rPr>
              <w:t xml:space="preserve"> (</w:t>
            </w:r>
            <w:r w:rsidR="004F449F">
              <w:rPr>
                <w:rFonts w:ascii="Arial" w:eastAsia="Arial" w:hAnsi="Arial" w:cs="Arial"/>
                <w:bCs/>
              </w:rPr>
              <w:t>Electricity Industry Act</w:t>
            </w:r>
            <w:r w:rsidR="004F449F">
              <w:rPr>
                <w:rFonts w:ascii="Arial" w:eastAsia="Arial" w:hAnsi="Arial" w:cs="Arial"/>
              </w:rPr>
              <w:t>)</w:t>
            </w:r>
            <w:r w:rsidR="008B0488" w:rsidRPr="00D60FA5">
              <w:rPr>
                <w:rFonts w:ascii="Arial" w:eastAsia="Arial" w:hAnsi="Arial" w:cs="Arial"/>
              </w:rPr>
              <w:t xml:space="preserve"> </w:t>
            </w:r>
            <w:r w:rsidR="00F441FE" w:rsidRPr="00D60FA5">
              <w:rPr>
                <w:rFonts w:ascii="Arial" w:eastAsia="Arial" w:hAnsi="Arial" w:cs="Arial"/>
              </w:rPr>
              <w:t>requirements.</w:t>
            </w:r>
          </w:p>
          <w:p w14:paraId="7DEE08C4" w14:textId="77777777" w:rsidR="000743B6" w:rsidRDefault="000743B6" w:rsidP="00D9030F">
            <w:pPr>
              <w:pStyle w:val="TableBody"/>
              <w:ind w:left="720"/>
              <w:rPr>
                <w:rFonts w:ascii="Arial" w:eastAsia="Arial" w:hAnsi="Arial" w:cs="Arial"/>
              </w:rPr>
            </w:pPr>
          </w:p>
          <w:p w14:paraId="13D21AD1" w14:textId="745ACBB6" w:rsidR="000743B6" w:rsidRDefault="000743B6" w:rsidP="00D9030F">
            <w:pPr>
              <w:pStyle w:val="TableBody"/>
              <w:ind w:left="720"/>
            </w:pPr>
            <w:r w:rsidRPr="000743B6">
              <w:rPr>
                <w:lang w:val="en-AU"/>
              </w:rPr>
              <w:t>The words ‘indirectly or directly’ in the definition of ‘third party’ are in reference to how a third party may be engaged by a licensee and do not relate to the activities ‘undertaken ‘in connection’ with the transmission of electricity’.</w:t>
            </w:r>
          </w:p>
          <w:p w14:paraId="5BEB1DA2" w14:textId="77777777" w:rsidR="0036111E" w:rsidRDefault="0036111E" w:rsidP="003744C3">
            <w:pPr>
              <w:pStyle w:val="TableBody"/>
            </w:pPr>
          </w:p>
          <w:p w14:paraId="37B97859" w14:textId="6E50AA7E" w:rsidR="001F6F4C" w:rsidRDefault="00D9030F" w:rsidP="00D9030F">
            <w:pPr>
              <w:pStyle w:val="TableBody"/>
              <w:numPr>
                <w:ilvl w:val="0"/>
                <w:numId w:val="35"/>
              </w:numPr>
            </w:pPr>
            <w:r>
              <w:rPr>
                <w:b/>
                <w:bCs/>
              </w:rPr>
              <w:t>t</w:t>
            </w:r>
            <w:r w:rsidR="001F6F4C" w:rsidRPr="003744C3">
              <w:rPr>
                <w:b/>
                <w:bCs/>
              </w:rPr>
              <w:t>ransmit</w:t>
            </w:r>
            <w:r w:rsidR="001F6F4C">
              <w:t xml:space="preserve">: </w:t>
            </w:r>
            <w:r w:rsidR="001B5991" w:rsidRPr="003B21A1">
              <w:t>Deleted and</w:t>
            </w:r>
            <w:r w:rsidR="00D12150" w:rsidRPr="003B21A1">
              <w:t xml:space="preserve"> repl</w:t>
            </w:r>
            <w:r w:rsidR="006325B4" w:rsidRPr="003B21A1">
              <w:t>aced.</w:t>
            </w:r>
          </w:p>
          <w:p w14:paraId="0DB68252" w14:textId="77777777" w:rsidR="003744C3" w:rsidRPr="001F6F4C" w:rsidRDefault="003744C3" w:rsidP="003744C3">
            <w:pPr>
              <w:pStyle w:val="TableBody"/>
            </w:pPr>
          </w:p>
          <w:p w14:paraId="1FB0D6DE" w14:textId="7ACA6EC7" w:rsidR="00F47A87" w:rsidRDefault="005A7AB4" w:rsidP="00D9030F">
            <w:pPr>
              <w:pStyle w:val="TableBody"/>
              <w:numPr>
                <w:ilvl w:val="0"/>
                <w:numId w:val="35"/>
              </w:numPr>
            </w:pPr>
            <w:r w:rsidRPr="003744C3">
              <w:rPr>
                <w:b/>
                <w:bCs/>
              </w:rPr>
              <w:t>Transmit</w:t>
            </w:r>
            <w:r w:rsidRPr="003A0D2E">
              <w:rPr>
                <w:b/>
                <w:bCs/>
                <w:i/>
                <w:iCs/>
              </w:rPr>
              <w:t>:</w:t>
            </w:r>
            <w:r w:rsidR="003744C3">
              <w:rPr>
                <w:i/>
                <w:iCs/>
              </w:rPr>
              <w:t xml:space="preserve"> </w:t>
            </w:r>
            <w:r w:rsidR="001F6F4C" w:rsidRPr="003B21A1">
              <w:t xml:space="preserve">New </w:t>
            </w:r>
            <w:r w:rsidR="00CA49B1" w:rsidRPr="003B21A1">
              <w:t>d</w:t>
            </w:r>
            <w:r w:rsidR="001F6F4C" w:rsidRPr="003B21A1">
              <w:t>efinition to replace ‘transmit’</w:t>
            </w:r>
            <w:r w:rsidR="001F6F4C">
              <w:rPr>
                <w:i/>
                <w:iCs/>
              </w:rPr>
              <w:t xml:space="preserve">. </w:t>
            </w:r>
            <w:r w:rsidR="004C3011">
              <w:t xml:space="preserve">Consideration was given to </w:t>
            </w:r>
            <w:r w:rsidR="00166FB4">
              <w:t>include</w:t>
            </w:r>
            <w:r w:rsidR="004C3011">
              <w:t xml:space="preserve"> a definition of </w:t>
            </w:r>
            <w:r w:rsidR="003744C3">
              <w:t>‘</w:t>
            </w:r>
            <w:r w:rsidR="004C3011">
              <w:t>supply</w:t>
            </w:r>
            <w:r w:rsidR="003744C3">
              <w:t>’</w:t>
            </w:r>
            <w:r w:rsidR="00834893">
              <w:t xml:space="preserve"> to support </w:t>
            </w:r>
            <w:r w:rsidR="003744C3">
              <w:t xml:space="preserve">transmission of electricity to </w:t>
            </w:r>
            <w:r w:rsidR="00834893">
              <w:t>internal systems</w:t>
            </w:r>
            <w:r w:rsidR="00064D2E">
              <w:t xml:space="preserve"> (self-supply)</w:t>
            </w:r>
            <w:r w:rsidR="00834893">
              <w:t xml:space="preserve">, and direct </w:t>
            </w:r>
            <w:r w:rsidR="000C724B">
              <w:t>transmission of electricity</w:t>
            </w:r>
            <w:r w:rsidR="00834893">
              <w:t xml:space="preserve"> to some customers</w:t>
            </w:r>
            <w:r w:rsidR="00AE0E38">
              <w:t>.</w:t>
            </w:r>
            <w:r w:rsidR="00C76B2E">
              <w:t xml:space="preserve"> </w:t>
            </w:r>
            <w:r w:rsidR="00F47A87">
              <w:t>In updating th</w:t>
            </w:r>
            <w:r w:rsidR="004F449F">
              <w:t>e</w:t>
            </w:r>
            <w:r w:rsidR="00F47A87">
              <w:t xml:space="preserve"> </w:t>
            </w:r>
            <w:proofErr w:type="spellStart"/>
            <w:r w:rsidR="00F47A87">
              <w:t>licence</w:t>
            </w:r>
            <w:r w:rsidR="004F449F">
              <w:t>s</w:t>
            </w:r>
            <w:proofErr w:type="spellEnd"/>
            <w:r w:rsidR="00F47A87">
              <w:t xml:space="preserve">, we consider that ‘supply’ is </w:t>
            </w:r>
            <w:r w:rsidR="00F47A87">
              <w:lastRenderedPageBreak/>
              <w:t xml:space="preserve">not an activity that can be </w:t>
            </w:r>
            <w:proofErr w:type="spellStart"/>
            <w:r w:rsidR="00F47A87">
              <w:t>licenced</w:t>
            </w:r>
            <w:proofErr w:type="spellEnd"/>
            <w:r w:rsidR="00F47A87">
              <w:t xml:space="preserve"> under section 18(1) of the </w:t>
            </w:r>
            <w:r w:rsidR="004F449F">
              <w:t xml:space="preserve">Electricity Industry </w:t>
            </w:r>
            <w:r w:rsidR="00F47A87">
              <w:t xml:space="preserve">Act. </w:t>
            </w:r>
            <w:r w:rsidR="005B785A">
              <w:t>A</w:t>
            </w:r>
            <w:r w:rsidR="00F47A87">
              <w:t xml:space="preserve"> new definition ‘Transmit’</w:t>
            </w:r>
            <w:r w:rsidR="005B785A">
              <w:t xml:space="preserve"> is included </w:t>
            </w:r>
            <w:r w:rsidR="00AE0E38">
              <w:t>to enable</w:t>
            </w:r>
            <w:r w:rsidR="001F6F4C">
              <w:t xml:space="preserve"> </w:t>
            </w:r>
            <w:r w:rsidR="000C724B">
              <w:t>‘</w:t>
            </w:r>
            <w:r w:rsidR="001F6F4C">
              <w:t>self supply</w:t>
            </w:r>
            <w:r w:rsidR="000C724B">
              <w:t>’</w:t>
            </w:r>
            <w:r w:rsidR="001F6F4C">
              <w:t xml:space="preserve"> and direct </w:t>
            </w:r>
            <w:r w:rsidR="000C724B">
              <w:t xml:space="preserve">transmission </w:t>
            </w:r>
            <w:r w:rsidR="001F6F4C">
              <w:t xml:space="preserve">to customers. </w:t>
            </w:r>
          </w:p>
        </w:tc>
      </w:tr>
      <w:tr w:rsidR="00F47A87" w14:paraId="165D6AA2" w14:textId="77777777" w:rsidTr="00B33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054" w:type="dxa"/>
          </w:tcPr>
          <w:p w14:paraId="67707B09" w14:textId="1D2C1E67" w:rsidR="00F47A87" w:rsidRDefault="00F47A87" w:rsidP="00F47A87">
            <w:r>
              <w:lastRenderedPageBreak/>
              <w:t>6. Revocation</w:t>
            </w:r>
          </w:p>
        </w:tc>
        <w:tc>
          <w:tcPr>
            <w:tcW w:w="10658" w:type="dxa"/>
          </w:tcPr>
          <w:p w14:paraId="1FECB315" w14:textId="77777777" w:rsidR="003B21A1" w:rsidRDefault="00F47A87" w:rsidP="003744C3">
            <w:pPr>
              <w:pStyle w:val="TableBody"/>
              <w:numPr>
                <w:ilvl w:val="0"/>
                <w:numId w:val="36"/>
              </w:numPr>
            </w:pPr>
            <w:r w:rsidRPr="00896800">
              <w:t>Inserted new clause 6.1</w:t>
            </w:r>
            <w:r>
              <w:t xml:space="preserve"> specifying that the commission may revoke this Licence in accordance with section 29 of the Electricity Industry Act</w:t>
            </w:r>
            <w:r w:rsidR="001F6F4C">
              <w:t xml:space="preserve">. </w:t>
            </w:r>
          </w:p>
          <w:p w14:paraId="6EF8BB85" w14:textId="77777777" w:rsidR="003B21A1" w:rsidRDefault="003B21A1" w:rsidP="003B21A1">
            <w:pPr>
              <w:pStyle w:val="TableBody"/>
              <w:ind w:left="720"/>
            </w:pPr>
          </w:p>
          <w:p w14:paraId="612CFFC7" w14:textId="43CCB947" w:rsidR="00F47A87" w:rsidRDefault="001F6F4C" w:rsidP="003744C3">
            <w:pPr>
              <w:pStyle w:val="TableBody"/>
              <w:numPr>
                <w:ilvl w:val="0"/>
                <w:numId w:val="36"/>
              </w:numPr>
            </w:pPr>
            <w:r>
              <w:t>O</w:t>
            </w:r>
            <w:r w:rsidR="00F47A87">
              <w:t xml:space="preserve">ther minor </w:t>
            </w:r>
            <w:r>
              <w:t>edits</w:t>
            </w:r>
            <w:r w:rsidR="00F47A87">
              <w:t>.</w:t>
            </w:r>
          </w:p>
        </w:tc>
      </w:tr>
      <w:tr w:rsidR="1C404550" w14:paraId="43D147FC" w14:textId="77777777" w:rsidTr="00B3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054" w:type="dxa"/>
          </w:tcPr>
          <w:p w14:paraId="6CE29CA1" w14:textId="6F7C100E" w:rsidR="71B82970" w:rsidRDefault="71B82970" w:rsidP="1C404550">
            <w:r>
              <w:t>9. Change of control</w:t>
            </w:r>
          </w:p>
        </w:tc>
        <w:tc>
          <w:tcPr>
            <w:tcW w:w="10658" w:type="dxa"/>
          </w:tcPr>
          <w:p w14:paraId="73152E6A" w14:textId="286C1B35" w:rsidR="003503C0" w:rsidRDefault="003E5628" w:rsidP="003B21A1">
            <w:pPr>
              <w:pStyle w:val="TableBody"/>
              <w:numPr>
                <w:ilvl w:val="0"/>
                <w:numId w:val="37"/>
              </w:numPr>
            </w:pPr>
            <w:r w:rsidRPr="000C724B">
              <w:t xml:space="preserve">Revised </w:t>
            </w:r>
            <w:r w:rsidR="71B82970" w:rsidRPr="1C404550">
              <w:t xml:space="preserve">the requirement to notify the commission of any event, decision, or circumstances that </w:t>
            </w:r>
            <w:r>
              <w:t>will</w:t>
            </w:r>
            <w:r w:rsidR="71B82970" w:rsidRPr="1C404550">
              <w:t xml:space="preserve"> result in a change of control or external administration.</w:t>
            </w:r>
          </w:p>
          <w:p w14:paraId="5DD5C6A3" w14:textId="77777777" w:rsidR="003744C3" w:rsidRDefault="003744C3" w:rsidP="003744C3">
            <w:pPr>
              <w:pStyle w:val="TableBody"/>
            </w:pPr>
          </w:p>
          <w:p w14:paraId="1D42B8E4" w14:textId="2D5F7668" w:rsidR="71B82970" w:rsidRDefault="003503C0" w:rsidP="003B21A1">
            <w:pPr>
              <w:pStyle w:val="TableBody"/>
              <w:numPr>
                <w:ilvl w:val="0"/>
                <w:numId w:val="37"/>
              </w:numPr>
            </w:pPr>
            <w:proofErr w:type="gramStart"/>
            <w:r>
              <w:t>In order to</w:t>
            </w:r>
            <w:proofErr w:type="gramEnd"/>
            <w:r>
              <w:t xml:space="preserve"> meet the </w:t>
            </w:r>
            <w:r w:rsidR="00CB7A69">
              <w:t>3-business</w:t>
            </w:r>
            <w:r>
              <w:t xml:space="preserve"> day </w:t>
            </w:r>
            <w:r w:rsidR="000A312E">
              <w:t xml:space="preserve">notification </w:t>
            </w:r>
            <w:r>
              <w:t>timeframe</w:t>
            </w:r>
            <w:r w:rsidR="00A521E9">
              <w:t xml:space="preserve"> for when a </w:t>
            </w:r>
            <w:r w:rsidR="003941E0">
              <w:t>change of control ‘will’ occur</w:t>
            </w:r>
            <w:r w:rsidR="003744C3">
              <w:t>,</w:t>
            </w:r>
            <w:r w:rsidR="003941E0">
              <w:t xml:space="preserve"> licensees may be required to notif</w:t>
            </w:r>
            <w:r w:rsidR="007F76A9">
              <w:t xml:space="preserve">y the commission </w:t>
            </w:r>
            <w:r w:rsidR="00CA39B5">
              <w:t xml:space="preserve">prior to </w:t>
            </w:r>
            <w:r w:rsidR="00EC08E4">
              <w:t xml:space="preserve">the </w:t>
            </w:r>
            <w:proofErr w:type="spellStart"/>
            <w:r w:rsidR="00E96673">
              <w:t>finalisation</w:t>
            </w:r>
            <w:proofErr w:type="spellEnd"/>
            <w:r w:rsidR="00EC08E4">
              <w:t xml:space="preserve"> </w:t>
            </w:r>
            <w:r w:rsidR="00E96673">
              <w:t>of</w:t>
            </w:r>
            <w:r w:rsidR="00EC08E4">
              <w:t xml:space="preserve"> </w:t>
            </w:r>
            <w:r w:rsidR="00E96673">
              <w:t>a</w:t>
            </w:r>
            <w:r w:rsidR="00EC08E4">
              <w:t xml:space="preserve"> change of control</w:t>
            </w:r>
            <w:r w:rsidR="00CA39B5">
              <w:t>. We expect that</w:t>
            </w:r>
            <w:r w:rsidR="00EC649B">
              <w:t xml:space="preserve"> the</w:t>
            </w:r>
            <w:r w:rsidR="00CA39B5">
              <w:t xml:space="preserve"> licensee </w:t>
            </w:r>
            <w:r w:rsidR="00EC649B">
              <w:t xml:space="preserve">will </w:t>
            </w:r>
            <w:r w:rsidR="00CA39B5">
              <w:t>keep the commission inform</w:t>
            </w:r>
            <w:r w:rsidR="0008550B">
              <w:t xml:space="preserve">ed of any matters which affect the ongoing management of the </w:t>
            </w:r>
            <w:proofErr w:type="spellStart"/>
            <w:r w:rsidR="0008550B">
              <w:t>licence</w:t>
            </w:r>
            <w:proofErr w:type="spellEnd"/>
            <w:r w:rsidR="0008550B">
              <w:t>.</w:t>
            </w:r>
          </w:p>
        </w:tc>
      </w:tr>
      <w:tr w:rsidR="00F47A87" w14:paraId="373F51AE" w14:textId="77777777" w:rsidTr="00B33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054" w:type="dxa"/>
          </w:tcPr>
          <w:p w14:paraId="18D08D90" w14:textId="799C33BA" w:rsidR="00F47A87" w:rsidRDefault="00F47A87" w:rsidP="00F47A87">
            <w:r>
              <w:t>10. Compliance with regulatory instruments</w:t>
            </w:r>
          </w:p>
        </w:tc>
        <w:tc>
          <w:tcPr>
            <w:tcW w:w="10658" w:type="dxa"/>
          </w:tcPr>
          <w:p w14:paraId="68E976F6" w14:textId="2B95DD8E" w:rsidR="00F47A87" w:rsidRDefault="00F47A87" w:rsidP="00A659A8">
            <w:pPr>
              <w:pStyle w:val="TableBody"/>
              <w:numPr>
                <w:ilvl w:val="0"/>
                <w:numId w:val="38"/>
              </w:numPr>
            </w:pPr>
            <w:r w:rsidRPr="00A659A8">
              <w:t xml:space="preserve">Removed </w:t>
            </w:r>
            <w:r>
              <w:t xml:space="preserve">the requirement to </w:t>
            </w:r>
            <w:r w:rsidR="001F6F4C">
              <w:t>comply with any guidelines issued by the commission. This is a legacy clause</w:t>
            </w:r>
            <w:r w:rsidR="003744C3">
              <w:t>. Currently no guidelines apply to transmission licensees</w:t>
            </w:r>
            <w:r w:rsidR="002B3283">
              <w:t>.</w:t>
            </w:r>
            <w:r w:rsidR="001A020D">
              <w:t xml:space="preserve"> Obligations</w:t>
            </w:r>
            <w:r w:rsidR="001F6F4C">
              <w:t xml:space="preserve"> on the licensee </w:t>
            </w:r>
            <w:r w:rsidR="001A020D">
              <w:t>are</w:t>
            </w:r>
            <w:r w:rsidR="001F6F4C">
              <w:t xml:space="preserve"> enforced through codes of practice.</w:t>
            </w:r>
          </w:p>
          <w:p w14:paraId="735449D2" w14:textId="2509ED27" w:rsidR="00F47A87" w:rsidRDefault="00F47A87" w:rsidP="003744C3">
            <w:pPr>
              <w:pStyle w:val="TableBody"/>
            </w:pPr>
          </w:p>
          <w:p w14:paraId="1C1BF7B4" w14:textId="2A43F3F6" w:rsidR="00F47A87" w:rsidRDefault="13380716" w:rsidP="00A659A8">
            <w:pPr>
              <w:pStyle w:val="TableBody"/>
              <w:numPr>
                <w:ilvl w:val="0"/>
                <w:numId w:val="38"/>
              </w:numPr>
            </w:pPr>
            <w:r w:rsidRPr="001A020D">
              <w:t>Removed</w:t>
            </w:r>
            <w:r w:rsidRPr="1C404550">
              <w:t xml:space="preserve"> the requirement to report any breach, or potential non-compliance with an applicable code of practice. </w:t>
            </w:r>
            <w:r w:rsidR="004869E7">
              <w:t>With</w:t>
            </w:r>
            <w:r w:rsidRPr="1C404550">
              <w:t xml:space="preserve"> the commencement of our enforcement powers, we may use codes of practices to enforce any non-compliance.</w:t>
            </w:r>
            <w:r w:rsidR="76BCE3AE" w:rsidRPr="1C404550">
              <w:t xml:space="preserve"> The relevant applicable codes of practice will have their own reporting framework. </w:t>
            </w:r>
            <w:r w:rsidR="00664DEC">
              <w:t xml:space="preserve">This amendment removes </w:t>
            </w:r>
            <w:r w:rsidR="76BCE3AE" w:rsidRPr="1C404550">
              <w:t>unnecessary duplicity</w:t>
            </w:r>
            <w:r w:rsidR="00664DEC">
              <w:t xml:space="preserve"> in the reporting framework</w:t>
            </w:r>
            <w:r w:rsidR="76BCE3AE" w:rsidRPr="1C404550">
              <w:t>.</w:t>
            </w:r>
          </w:p>
          <w:p w14:paraId="39495621" w14:textId="77777777" w:rsidR="00C35236" w:rsidRDefault="00C35236" w:rsidP="00C35236">
            <w:pPr>
              <w:pStyle w:val="ListParagraph"/>
              <w:spacing w:before="0"/>
            </w:pPr>
          </w:p>
          <w:p w14:paraId="13D39672" w14:textId="4FA4C0B6" w:rsidR="00C35236" w:rsidRDefault="00BD611E" w:rsidP="00A659A8">
            <w:pPr>
              <w:pStyle w:val="TableBody"/>
              <w:numPr>
                <w:ilvl w:val="0"/>
                <w:numId w:val="38"/>
              </w:numPr>
            </w:pPr>
            <w:r>
              <w:t>Clause 10.3(b) r</w:t>
            </w:r>
            <w:r w:rsidR="00C35236" w:rsidRPr="00E05405">
              <w:t>equire</w:t>
            </w:r>
            <w:r>
              <w:t xml:space="preserve">s the licensee </w:t>
            </w:r>
            <w:r w:rsidR="00C35236" w:rsidRPr="00E05405">
              <w:t xml:space="preserve">to provide the commission notice where the Licensee has reasonable grounds to believe there is actual or potential non-compliance with the Licence or the Act– as soon as practicable or within three days. This </w:t>
            </w:r>
            <w:proofErr w:type="gramStart"/>
            <w:r>
              <w:t xml:space="preserve">three </w:t>
            </w:r>
            <w:r w:rsidR="00C35236" w:rsidRPr="00E05405">
              <w:t>day</w:t>
            </w:r>
            <w:proofErr w:type="gramEnd"/>
            <w:r w:rsidR="00C35236" w:rsidRPr="00E05405">
              <w:t xml:space="preserve"> requirement ensures that the commission is promptly notified of compliance matters. Relevantly, this reporting requirement relates to information known by the licensee at </w:t>
            </w:r>
            <w:r w:rsidR="00C35236" w:rsidRPr="00E05405">
              <w:rPr>
                <w:i/>
                <w:iCs/>
              </w:rPr>
              <w:t>that point in time</w:t>
            </w:r>
            <w:r w:rsidR="00C35236" w:rsidRPr="00E05405">
              <w:t xml:space="preserve"> and further updates can be made to the commission once further information is known by the Licensee. </w:t>
            </w:r>
            <w:r w:rsidR="00C35236">
              <w:t>I</w:t>
            </w:r>
            <w:r w:rsidR="00C35236" w:rsidRPr="00E05405">
              <w:t xml:space="preserve">f any particulars are not known to the licensee after </w:t>
            </w:r>
            <w:r>
              <w:t>three</w:t>
            </w:r>
            <w:r w:rsidR="00C35236" w:rsidRPr="00E05405">
              <w:t xml:space="preserve"> days, further particulars can be provided after the initial notification to the commission</w:t>
            </w:r>
            <w:r w:rsidR="00C35236">
              <w:t>.</w:t>
            </w:r>
          </w:p>
        </w:tc>
      </w:tr>
      <w:tr w:rsidR="1C404550" w14:paraId="4D396F64" w14:textId="77777777" w:rsidTr="00B3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054" w:type="dxa"/>
          </w:tcPr>
          <w:p w14:paraId="4AD4F57E" w14:textId="704DC3BB" w:rsidR="76BCE3AE" w:rsidRDefault="76BCE3AE" w:rsidP="1C404550">
            <w:r>
              <w:t>12</w:t>
            </w:r>
            <w:r w:rsidR="00A659A8">
              <w:t>.</w:t>
            </w:r>
            <w:r>
              <w:t xml:space="preserve"> Provision of Information</w:t>
            </w:r>
          </w:p>
        </w:tc>
        <w:tc>
          <w:tcPr>
            <w:tcW w:w="10658" w:type="dxa"/>
          </w:tcPr>
          <w:p w14:paraId="2C358C91" w14:textId="38784C02" w:rsidR="651AA5D5" w:rsidRDefault="651AA5D5" w:rsidP="001A020D">
            <w:pPr>
              <w:pStyle w:val="TableBody"/>
              <w:numPr>
                <w:ilvl w:val="0"/>
                <w:numId w:val="39"/>
              </w:numPr>
            </w:pPr>
            <w:r w:rsidRPr="001A020D">
              <w:t>Added</w:t>
            </w:r>
            <w:r w:rsidRPr="1C404550">
              <w:rPr>
                <w:i/>
                <w:iCs/>
              </w:rPr>
              <w:t xml:space="preserve"> </w:t>
            </w:r>
            <w:r w:rsidRPr="1C404550">
              <w:t xml:space="preserve">in clause 12.2 </w:t>
            </w:r>
            <w:r w:rsidR="76BCE3AE" w:rsidRPr="1C404550">
              <w:t>that information required by the commission under clause 12 will be ‘for the purposes of performing [</w:t>
            </w:r>
            <w:r w:rsidR="77A5BFE2" w:rsidRPr="1C404550">
              <w:t>our</w:t>
            </w:r>
            <w:r w:rsidR="76BCE3AE" w:rsidRPr="1C404550">
              <w:t>] functions or e</w:t>
            </w:r>
            <w:r w:rsidR="49B20AC5" w:rsidRPr="1C404550">
              <w:t xml:space="preserve">xercising </w:t>
            </w:r>
            <w:r w:rsidR="1E2B3414" w:rsidRPr="1C404550">
              <w:t>[our] powers.’</w:t>
            </w:r>
          </w:p>
        </w:tc>
      </w:tr>
      <w:tr w:rsidR="001F6F4C" w14:paraId="2B819E39" w14:textId="77777777" w:rsidTr="00B33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054" w:type="dxa"/>
          </w:tcPr>
          <w:p w14:paraId="5047BB24" w14:textId="6C71064B" w:rsidR="001F6F4C" w:rsidRDefault="001F6F4C" w:rsidP="00F47A87">
            <w:r>
              <w:lastRenderedPageBreak/>
              <w:t>13</w:t>
            </w:r>
            <w:r w:rsidR="00A659A8">
              <w:t>.</w:t>
            </w:r>
            <w:r>
              <w:t xml:space="preserve"> Separate accounts </w:t>
            </w:r>
          </w:p>
        </w:tc>
        <w:tc>
          <w:tcPr>
            <w:tcW w:w="10658" w:type="dxa"/>
          </w:tcPr>
          <w:p w14:paraId="6AE342AC" w14:textId="57D6D739" w:rsidR="001F6F4C" w:rsidRDefault="001F6F4C" w:rsidP="001A020D">
            <w:pPr>
              <w:pStyle w:val="TableBody"/>
              <w:numPr>
                <w:ilvl w:val="0"/>
                <w:numId w:val="39"/>
              </w:numPr>
            </w:pPr>
            <w:r w:rsidRPr="001A020D">
              <w:t>Deleted</w:t>
            </w:r>
            <w:r>
              <w:t xml:space="preserve">. </w:t>
            </w:r>
            <w:r w:rsidR="00B26442">
              <w:t>T</w:t>
            </w:r>
            <w:r>
              <w:t xml:space="preserve">his </w:t>
            </w:r>
            <w:proofErr w:type="spellStart"/>
            <w:r>
              <w:t>licence</w:t>
            </w:r>
            <w:proofErr w:type="spellEnd"/>
            <w:r>
              <w:t xml:space="preserve"> condition duplicates other requirements related to separate accounts in the AER’s </w:t>
            </w:r>
            <w:hyperlink r:id="rId11" w:history="1">
              <w:r>
                <w:rPr>
                  <w:rStyle w:val="Hyperlink"/>
                  <w14:ligatures w14:val="standardContextual"/>
                </w:rPr>
                <w:t>Ring-fencing Guideline Electricity Transmission (version 4)</w:t>
              </w:r>
            </w:hyperlink>
            <w:r>
              <w:t xml:space="preserve"> (see clause 3.2.1).</w:t>
            </w:r>
          </w:p>
        </w:tc>
      </w:tr>
      <w:tr w:rsidR="001F6F4C" w14:paraId="11F81DA4" w14:textId="77777777" w:rsidTr="00B33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54" w:type="dxa"/>
          </w:tcPr>
          <w:p w14:paraId="26E54CFE" w14:textId="29CC0A1D" w:rsidR="001F6F4C" w:rsidRDefault="001F6F4C" w:rsidP="00F47A87">
            <w:r>
              <w:t>14. Insurance</w:t>
            </w:r>
          </w:p>
        </w:tc>
        <w:tc>
          <w:tcPr>
            <w:tcW w:w="10658" w:type="dxa"/>
          </w:tcPr>
          <w:p w14:paraId="45C782F7" w14:textId="7AA2AF7E" w:rsidR="003744C3" w:rsidRPr="003744C3" w:rsidRDefault="001F6F4C" w:rsidP="001A020D">
            <w:pPr>
              <w:pStyle w:val="TableBody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r w:rsidRPr="001A020D">
              <w:t>Redrafted</w:t>
            </w:r>
            <w:bookmarkStart w:id="1" w:name="_Hlk174908023"/>
            <w:r w:rsidR="003744C3">
              <w:rPr>
                <w:i/>
                <w:iCs/>
              </w:rPr>
              <w:t xml:space="preserve"> </w:t>
            </w:r>
            <w:r w:rsidR="003744C3">
              <w:t>to</w:t>
            </w:r>
            <w:r w:rsidR="642500CB" w:rsidRPr="5DD84A61">
              <w:rPr>
                <w:rFonts w:ascii="Arial" w:eastAsia="Arial" w:hAnsi="Arial" w:cs="Arial"/>
              </w:rPr>
              <w:t xml:space="preserve"> </w:t>
            </w:r>
            <w:r w:rsidR="00433AE8">
              <w:rPr>
                <w:rFonts w:ascii="Arial" w:eastAsia="Arial" w:hAnsi="Arial" w:cs="Arial"/>
              </w:rPr>
              <w:t>provide flexibility to licensees</w:t>
            </w:r>
            <w:r w:rsidR="003744C3">
              <w:rPr>
                <w:rFonts w:ascii="Arial" w:eastAsia="Arial" w:hAnsi="Arial" w:cs="Arial"/>
              </w:rPr>
              <w:t xml:space="preserve"> when purchasing an appropriate insurance product</w:t>
            </w:r>
            <w:r w:rsidR="642500CB" w:rsidRPr="5DD84A61">
              <w:rPr>
                <w:rFonts w:ascii="Arial" w:eastAsia="Arial" w:hAnsi="Arial" w:cs="Arial"/>
              </w:rPr>
              <w:t>.</w:t>
            </w:r>
            <w:bookmarkEnd w:id="1"/>
            <w:r w:rsidR="00646EFD">
              <w:rPr>
                <w:rFonts w:ascii="Arial" w:eastAsia="Arial" w:hAnsi="Arial" w:cs="Arial"/>
              </w:rPr>
              <w:t xml:space="preserve"> </w:t>
            </w:r>
            <w:r w:rsidR="00D12F2C">
              <w:rPr>
                <w:rFonts w:ascii="Arial" w:eastAsia="Arial" w:hAnsi="Arial" w:cs="Arial"/>
              </w:rPr>
              <w:t>A</w:t>
            </w:r>
            <w:r w:rsidR="004A248B">
              <w:rPr>
                <w:rFonts w:ascii="Arial" w:eastAsia="Arial" w:hAnsi="Arial" w:cs="Arial"/>
              </w:rPr>
              <w:t>n</w:t>
            </w:r>
            <w:r w:rsidR="00F07ABA">
              <w:rPr>
                <w:rFonts w:ascii="Arial" w:eastAsia="Arial" w:hAnsi="Arial" w:cs="Arial"/>
              </w:rPr>
              <w:t xml:space="preserve"> </w:t>
            </w:r>
            <w:r w:rsidR="00D12F2C">
              <w:rPr>
                <w:rFonts w:ascii="Arial" w:eastAsia="Arial" w:hAnsi="Arial" w:cs="Arial"/>
              </w:rPr>
              <w:t>obligation</w:t>
            </w:r>
            <w:r w:rsidR="003744C3">
              <w:rPr>
                <w:rFonts w:ascii="Arial" w:eastAsia="Arial" w:hAnsi="Arial" w:cs="Arial"/>
              </w:rPr>
              <w:t xml:space="preserve"> to maintain </w:t>
            </w:r>
            <w:proofErr w:type="gramStart"/>
            <w:r w:rsidR="003744C3">
              <w:rPr>
                <w:rFonts w:ascii="Arial" w:eastAsia="Arial" w:hAnsi="Arial" w:cs="Arial"/>
              </w:rPr>
              <w:t>general public</w:t>
            </w:r>
            <w:proofErr w:type="gramEnd"/>
            <w:r w:rsidR="003744C3">
              <w:rPr>
                <w:rFonts w:ascii="Arial" w:eastAsia="Arial" w:hAnsi="Arial" w:cs="Arial"/>
              </w:rPr>
              <w:t xml:space="preserve"> liability insurance is</w:t>
            </w:r>
            <w:r w:rsidR="00D12F2C">
              <w:rPr>
                <w:rFonts w:ascii="Arial" w:eastAsia="Arial" w:hAnsi="Arial" w:cs="Arial"/>
              </w:rPr>
              <w:t xml:space="preserve"> retained</w:t>
            </w:r>
            <w:r w:rsidR="009573E9">
              <w:rPr>
                <w:rFonts w:ascii="Arial" w:eastAsia="Arial" w:hAnsi="Arial" w:cs="Arial"/>
              </w:rPr>
              <w:t>.</w:t>
            </w:r>
          </w:p>
        </w:tc>
      </w:tr>
      <w:tr w:rsidR="00AE0E38" w14:paraId="45251C6E" w14:textId="77777777" w:rsidTr="00B33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054" w:type="dxa"/>
          </w:tcPr>
          <w:p w14:paraId="5EBA044D" w14:textId="4A6DD7A7" w:rsidR="00AE0E38" w:rsidRPr="006F0856" w:rsidRDefault="00AE0E38" w:rsidP="00F47A87">
            <w:pPr>
              <w:rPr>
                <w:i/>
                <w:iCs/>
              </w:rPr>
            </w:pPr>
            <w:r>
              <w:t xml:space="preserve">15. Dispute </w:t>
            </w:r>
            <w:r w:rsidR="00F46C71">
              <w:t>r</w:t>
            </w:r>
            <w:r>
              <w:t xml:space="preserve">esolution  </w:t>
            </w:r>
          </w:p>
        </w:tc>
        <w:tc>
          <w:tcPr>
            <w:tcW w:w="10658" w:type="dxa"/>
          </w:tcPr>
          <w:p w14:paraId="2143E7EC" w14:textId="4A524989" w:rsidR="00AE0E38" w:rsidRPr="00F170EB" w:rsidRDefault="005E3DE2" w:rsidP="003A0D2E">
            <w:pPr>
              <w:pStyle w:val="TableBody"/>
              <w:numPr>
                <w:ilvl w:val="0"/>
                <w:numId w:val="39"/>
              </w:numPr>
            </w:pPr>
            <w:r w:rsidRPr="003A0D2E">
              <w:t>Inserted</w:t>
            </w:r>
            <w:r>
              <w:rPr>
                <w:i/>
                <w:iCs/>
              </w:rPr>
              <w:t xml:space="preserve"> </w:t>
            </w:r>
            <w:r w:rsidRPr="003744C3">
              <w:t>new clause 15</w:t>
            </w:r>
            <w:r>
              <w:t xml:space="preserve"> for dispute resolution. </w:t>
            </w:r>
            <w:r w:rsidRPr="003E66DC">
              <w:rPr>
                <w:rFonts w:ascii="Arial" w:eastAsia="Arial" w:hAnsi="Arial" w:cs="Arial"/>
              </w:rPr>
              <w:t xml:space="preserve">This condition is specifically for Transmission Assets already existing under the </w:t>
            </w:r>
            <w:proofErr w:type="spellStart"/>
            <w:r w:rsidRPr="003E66DC">
              <w:rPr>
                <w:rFonts w:ascii="Arial" w:eastAsia="Arial" w:hAnsi="Arial" w:cs="Arial"/>
              </w:rPr>
              <w:t>licence</w:t>
            </w:r>
            <w:r w:rsidR="003C2A6E">
              <w:rPr>
                <w:rFonts w:ascii="Arial" w:eastAsia="Arial" w:hAnsi="Arial" w:cs="Arial"/>
              </w:rPr>
              <w:t>s</w:t>
            </w:r>
            <w:proofErr w:type="spellEnd"/>
            <w:r w:rsidR="002C5753">
              <w:rPr>
                <w:rFonts w:ascii="Arial" w:eastAsia="Arial" w:hAnsi="Arial" w:cs="Arial"/>
              </w:rPr>
              <w:t>. It is applicable where land access occurs under section 93</w:t>
            </w:r>
            <w:r w:rsidR="003744C3">
              <w:rPr>
                <w:rFonts w:ascii="Arial" w:eastAsia="Arial" w:hAnsi="Arial" w:cs="Arial"/>
              </w:rPr>
              <w:t xml:space="preserve"> of the Electricity Industry </w:t>
            </w:r>
            <w:r w:rsidR="00457C65">
              <w:rPr>
                <w:rFonts w:ascii="Arial" w:eastAsia="Arial" w:hAnsi="Arial" w:cs="Arial"/>
              </w:rPr>
              <w:t>Act and</w:t>
            </w:r>
            <w:r w:rsidR="00564CA5">
              <w:rPr>
                <w:rFonts w:ascii="Arial" w:eastAsia="Arial" w:hAnsi="Arial" w:cs="Arial"/>
              </w:rPr>
              <w:t xml:space="preserve"> </w:t>
            </w:r>
            <w:r w:rsidR="002C5753">
              <w:rPr>
                <w:rFonts w:ascii="Arial" w:eastAsia="Arial" w:hAnsi="Arial" w:cs="Arial"/>
              </w:rPr>
              <w:t>is not covered by</w:t>
            </w:r>
            <w:r w:rsidRPr="003E66DC">
              <w:rPr>
                <w:rFonts w:ascii="Arial" w:eastAsia="Arial" w:hAnsi="Arial" w:cs="Arial"/>
              </w:rPr>
              <w:t xml:space="preserve"> the Land Access Code of Practice (LACoP). </w:t>
            </w:r>
            <w:r w:rsidR="00742FA2">
              <w:rPr>
                <w:rFonts w:ascii="Arial" w:eastAsia="Arial" w:hAnsi="Arial" w:cs="Arial"/>
              </w:rPr>
              <w:t>T</w:t>
            </w:r>
            <w:r w:rsidRPr="003E66DC">
              <w:rPr>
                <w:rFonts w:ascii="Arial" w:eastAsia="Arial" w:hAnsi="Arial" w:cs="Arial"/>
              </w:rPr>
              <w:t>he definitions are aligned with the LACoP.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3E4B6E7" w14:textId="77777777" w:rsidR="00F47A87" w:rsidRPr="00F47A87" w:rsidRDefault="00F47A87" w:rsidP="00F47A87"/>
    <w:sectPr w:rsidR="00F47A87" w:rsidRPr="00F47A87" w:rsidSect="00F47A87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 w:code="9"/>
      <w:pgMar w:top="1134" w:right="1134" w:bottom="1134" w:left="1134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7F8BA" w14:textId="77777777" w:rsidR="009B4790" w:rsidRDefault="009B4790" w:rsidP="00AE03FA">
      <w:pPr>
        <w:spacing w:after="0"/>
      </w:pPr>
      <w:r>
        <w:separator/>
      </w:r>
    </w:p>
    <w:p w14:paraId="4A4DCD96" w14:textId="77777777" w:rsidR="009B4790" w:rsidRDefault="009B4790"/>
  </w:endnote>
  <w:endnote w:type="continuationSeparator" w:id="0">
    <w:p w14:paraId="72D864E3" w14:textId="77777777" w:rsidR="009B4790" w:rsidRDefault="009B4790" w:rsidP="00AE03FA">
      <w:pPr>
        <w:spacing w:after="0"/>
      </w:pPr>
      <w:r>
        <w:continuationSeparator/>
      </w:r>
    </w:p>
    <w:p w14:paraId="72A3604F" w14:textId="77777777" w:rsidR="009B4790" w:rsidRDefault="009B4790"/>
  </w:endnote>
  <w:endnote w:type="continuationNotice" w:id="1">
    <w:p w14:paraId="5F317AED" w14:textId="77777777" w:rsidR="009B4790" w:rsidRDefault="009B47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C6F5A" w14:textId="060A8FBB" w:rsidR="000B3EB0" w:rsidRDefault="00F71E98" w:rsidP="003A0D2E">
    <w:pPr>
      <w:pStyle w:val="Footer"/>
      <w:jc w:val="right"/>
    </w:pPr>
    <w:r>
      <w:t xml:space="preserve">Electricity Transmission Licence Review 2023 </w:t>
    </w:r>
    <w:r w:rsidR="000B3EB0">
      <w:t xml:space="preserve">Final Decision: Annex 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1B96C" w14:textId="77777777" w:rsidR="009B4790" w:rsidRPr="00CF33F6" w:rsidRDefault="009B4790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14F328DF" w14:textId="77777777" w:rsidR="009B4790" w:rsidRDefault="009B4790" w:rsidP="00CF33F6">
      <w:pPr>
        <w:pStyle w:val="NoSpacing"/>
      </w:pPr>
    </w:p>
  </w:footnote>
  <w:footnote w:type="continuationSeparator" w:id="0">
    <w:p w14:paraId="24FA41BC" w14:textId="77777777" w:rsidR="009B4790" w:rsidRDefault="009B4790" w:rsidP="00AE03FA">
      <w:pPr>
        <w:spacing w:after="0"/>
      </w:pPr>
      <w:r>
        <w:continuationSeparator/>
      </w:r>
    </w:p>
    <w:p w14:paraId="2FB8A097" w14:textId="77777777" w:rsidR="009B4790" w:rsidRDefault="009B4790"/>
  </w:footnote>
  <w:footnote w:type="continuationNotice" w:id="1">
    <w:p w14:paraId="5F006A12" w14:textId="77777777" w:rsidR="009B4790" w:rsidRDefault="009B4790">
      <w:pPr>
        <w:spacing w:before="0" w:after="0" w:line="240" w:lineRule="auto"/>
      </w:pPr>
    </w:p>
  </w:footnote>
  <w:footnote w:id="2">
    <w:p w14:paraId="25373108" w14:textId="785C34AD" w:rsidR="00276E90" w:rsidRDefault="00276E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30CD9">
        <w:t xml:space="preserve">Read with </w:t>
      </w:r>
      <w:hyperlink r:id="rId1" w:anchor="tabs-container2" w:history="1">
        <w:r w:rsidR="009E34CD" w:rsidRPr="009E34CD">
          <w:rPr>
            <w:rStyle w:val="Hyperlink"/>
          </w:rPr>
          <w:t>Revoking the Electricity System Code | Essential Services Commission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ADDD0" w14:textId="2D0C4F27" w:rsidR="00D61055" w:rsidRDefault="0089381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26F5306C" wp14:editId="459D87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93189236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E05A7" w14:textId="000B9484" w:rsidR="0089381B" w:rsidRPr="0089381B" w:rsidRDefault="0089381B" w:rsidP="008938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38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F5306C" id="Text Box 2" o:spid="_x0000_s1027" type="#_x0000_t202" alt="OFFICIAL" style="position:absolute;margin-left:0;margin-top:0;width:43.45pt;height:43.5pt;z-index:25166029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" filled="f" stroked="f">
              <v:textbox style="mso-fit-shape-to-text:t" inset="0,15pt,0,0">
                <w:txbxContent>
                  <w:p w14:paraId="265E05A7" w14:textId="000B9484" w:rsidR="0089381B" w:rsidRPr="0089381B" w:rsidRDefault="0089381B" w:rsidP="008938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38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8A81" w14:textId="77F198F0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3112F" w14:textId="1BB5D8B3" w:rsidR="00D61055" w:rsidRDefault="0089381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3A9F25C4" wp14:editId="706D76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49192177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5C93F" w14:textId="3A266AB3" w:rsidR="0089381B" w:rsidRPr="0089381B" w:rsidRDefault="0089381B" w:rsidP="008938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381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9F25C4" id="Text Box 1" o:spid="_x0000_s1031" type="#_x0000_t202" alt="OFFICIAL" style="position:absolute;margin-left:0;margin-top:0;width:43.45pt;height:43.5pt;z-index:25165926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" filled="f" stroked="f">
              <v:textbox style="mso-fit-shape-to-text:t" inset="0,15pt,0,0">
                <w:txbxContent>
                  <w:p w14:paraId="73A5C93F" w14:textId="3A266AB3" w:rsidR="0089381B" w:rsidRPr="0089381B" w:rsidRDefault="0089381B" w:rsidP="008938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381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22C8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263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C4A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62A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0C0B"/>
    <w:multiLevelType w:val="multilevel"/>
    <w:tmpl w:val="3D66CBA2"/>
    <w:numStyleLink w:val="CustomNumberlist"/>
  </w:abstractNum>
  <w:abstractNum w:abstractNumId="14" w15:restartNumberingAfterBreak="0">
    <w:nsid w:val="177C2E64"/>
    <w:multiLevelType w:val="hybridMultilevel"/>
    <w:tmpl w:val="C9C4D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C049B"/>
    <w:multiLevelType w:val="multilevel"/>
    <w:tmpl w:val="6D9A2BC2"/>
    <w:numStyleLink w:val="NumberedHeadings"/>
  </w:abstractNum>
  <w:abstractNum w:abstractNumId="16" w15:restartNumberingAfterBreak="0">
    <w:nsid w:val="1E8052EF"/>
    <w:multiLevelType w:val="multilevel"/>
    <w:tmpl w:val="DF4A9966"/>
    <w:numStyleLink w:val="TableBullets"/>
  </w:abstractNum>
  <w:abstractNum w:abstractNumId="17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2391238"/>
    <w:multiLevelType w:val="multilevel"/>
    <w:tmpl w:val="6D9A2BC2"/>
    <w:numStyleLink w:val="NumberedHeadings"/>
  </w:abstractNum>
  <w:abstractNum w:abstractNumId="19" w15:restartNumberingAfterBreak="0">
    <w:nsid w:val="352221C0"/>
    <w:multiLevelType w:val="hybridMultilevel"/>
    <w:tmpl w:val="D4984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E348D"/>
    <w:multiLevelType w:val="multilevel"/>
    <w:tmpl w:val="3D66CBA2"/>
    <w:numStyleLink w:val="CustomNumberlist"/>
  </w:abstractNum>
  <w:abstractNum w:abstractNumId="21" w15:restartNumberingAfterBreak="0">
    <w:nsid w:val="39C20E77"/>
    <w:multiLevelType w:val="multilevel"/>
    <w:tmpl w:val="6D9A2BC2"/>
    <w:numStyleLink w:val="NumberedHeadings"/>
  </w:abstractNum>
  <w:abstractNum w:abstractNumId="22" w15:restartNumberingAfterBreak="0">
    <w:nsid w:val="3AA454D7"/>
    <w:multiLevelType w:val="multilevel"/>
    <w:tmpl w:val="6D9A2BC2"/>
    <w:numStyleLink w:val="NumberedHeadings"/>
  </w:abstractNum>
  <w:abstractNum w:abstractNumId="23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2EC0875"/>
    <w:multiLevelType w:val="hybridMultilevel"/>
    <w:tmpl w:val="26200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A8B0109"/>
    <w:multiLevelType w:val="multilevel"/>
    <w:tmpl w:val="3D66CBA2"/>
    <w:numStyleLink w:val="CustomNumberlist"/>
  </w:abstractNum>
  <w:abstractNum w:abstractNumId="27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0B16"/>
    <w:multiLevelType w:val="hybridMultilevel"/>
    <w:tmpl w:val="3E14E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47D22"/>
    <w:multiLevelType w:val="hybridMultilevel"/>
    <w:tmpl w:val="91D8A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05317"/>
    <w:multiLevelType w:val="multilevel"/>
    <w:tmpl w:val="3D66CBA2"/>
    <w:numStyleLink w:val="CustomNumberlist"/>
  </w:abstractNum>
  <w:abstractNum w:abstractNumId="32" w15:restartNumberingAfterBreak="0">
    <w:nsid w:val="6B031981"/>
    <w:multiLevelType w:val="multilevel"/>
    <w:tmpl w:val="DF4A9966"/>
    <w:styleLink w:val="Table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09478">
    <w:abstractNumId w:val="9"/>
  </w:num>
  <w:num w:numId="2" w16cid:durableId="1379865160">
    <w:abstractNumId w:val="7"/>
  </w:num>
  <w:num w:numId="3" w16cid:durableId="339627904">
    <w:abstractNumId w:val="6"/>
  </w:num>
  <w:num w:numId="4" w16cid:durableId="454450122">
    <w:abstractNumId w:val="5"/>
  </w:num>
  <w:num w:numId="5" w16cid:durableId="621227800">
    <w:abstractNumId w:val="4"/>
  </w:num>
  <w:num w:numId="6" w16cid:durableId="2057048879">
    <w:abstractNumId w:val="8"/>
  </w:num>
  <w:num w:numId="7" w16cid:durableId="16546204">
    <w:abstractNumId w:val="3"/>
  </w:num>
  <w:num w:numId="8" w16cid:durableId="1557274462">
    <w:abstractNumId w:val="2"/>
  </w:num>
  <w:num w:numId="9" w16cid:durableId="634602708">
    <w:abstractNumId w:val="1"/>
  </w:num>
  <w:num w:numId="10" w16cid:durableId="1453092248">
    <w:abstractNumId w:val="23"/>
  </w:num>
  <w:num w:numId="11" w16cid:durableId="337462506">
    <w:abstractNumId w:val="17"/>
  </w:num>
  <w:num w:numId="12" w16cid:durableId="1641771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978066">
    <w:abstractNumId w:val="0"/>
  </w:num>
  <w:num w:numId="14" w16cid:durableId="203491510">
    <w:abstractNumId w:val="17"/>
  </w:num>
  <w:num w:numId="15" w16cid:durableId="180240495">
    <w:abstractNumId w:val="18"/>
  </w:num>
  <w:num w:numId="16" w16cid:durableId="821314062">
    <w:abstractNumId w:val="11"/>
  </w:num>
  <w:num w:numId="17" w16cid:durableId="935093419">
    <w:abstractNumId w:val="25"/>
  </w:num>
  <w:num w:numId="18" w16cid:durableId="191770850">
    <w:abstractNumId w:val="25"/>
  </w:num>
  <w:num w:numId="19" w16cid:durableId="1067923915">
    <w:abstractNumId w:val="20"/>
  </w:num>
  <w:num w:numId="20" w16cid:durableId="1751846704">
    <w:abstractNumId w:val="13"/>
  </w:num>
  <w:num w:numId="21" w16cid:durableId="1530752649">
    <w:abstractNumId w:val="27"/>
  </w:num>
  <w:num w:numId="22" w16cid:durableId="658076165">
    <w:abstractNumId w:val="31"/>
  </w:num>
  <w:num w:numId="23" w16cid:durableId="1611005993">
    <w:abstractNumId w:val="12"/>
  </w:num>
  <w:num w:numId="24" w16cid:durableId="955255415">
    <w:abstractNumId w:val="34"/>
  </w:num>
  <w:num w:numId="25" w16cid:durableId="1100446794">
    <w:abstractNumId w:val="28"/>
  </w:num>
  <w:num w:numId="26" w16cid:durableId="698353812">
    <w:abstractNumId w:val="32"/>
  </w:num>
  <w:num w:numId="27" w16cid:durableId="531462824">
    <w:abstractNumId w:val="16"/>
  </w:num>
  <w:num w:numId="28" w16cid:durableId="211115963">
    <w:abstractNumId w:val="22"/>
  </w:num>
  <w:num w:numId="29" w16cid:durableId="2093045680">
    <w:abstractNumId w:val="21"/>
  </w:num>
  <w:num w:numId="30" w16cid:durableId="198325550">
    <w:abstractNumId w:val="15"/>
  </w:num>
  <w:num w:numId="31" w16cid:durableId="473064563">
    <w:abstractNumId w:val="26"/>
  </w:num>
  <w:num w:numId="32" w16cid:durableId="1071151129">
    <w:abstractNumId w:val="10"/>
  </w:num>
  <w:num w:numId="33" w16cid:durableId="14308512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8928990">
    <w:abstractNumId w:val="33"/>
  </w:num>
  <w:num w:numId="35" w16cid:durableId="536045519">
    <w:abstractNumId w:val="19"/>
  </w:num>
  <w:num w:numId="36" w16cid:durableId="2011761248">
    <w:abstractNumId w:val="24"/>
  </w:num>
  <w:num w:numId="37" w16cid:durableId="248122799">
    <w:abstractNumId w:val="14"/>
  </w:num>
  <w:num w:numId="38" w16cid:durableId="1765953346">
    <w:abstractNumId w:val="30"/>
  </w:num>
  <w:num w:numId="39" w16cid:durableId="5402144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87"/>
    <w:rsid w:val="000046BD"/>
    <w:rsid w:val="00015588"/>
    <w:rsid w:val="00017CA9"/>
    <w:rsid w:val="000337A0"/>
    <w:rsid w:val="00043231"/>
    <w:rsid w:val="000518F3"/>
    <w:rsid w:val="000566E0"/>
    <w:rsid w:val="00062AE4"/>
    <w:rsid w:val="00064D2E"/>
    <w:rsid w:val="000675A2"/>
    <w:rsid w:val="00067DD9"/>
    <w:rsid w:val="000743B6"/>
    <w:rsid w:val="00076F15"/>
    <w:rsid w:val="0008550B"/>
    <w:rsid w:val="000869C4"/>
    <w:rsid w:val="000962C2"/>
    <w:rsid w:val="000A1292"/>
    <w:rsid w:val="000A312E"/>
    <w:rsid w:val="000A60AA"/>
    <w:rsid w:val="000A759D"/>
    <w:rsid w:val="000A7FD9"/>
    <w:rsid w:val="000B3550"/>
    <w:rsid w:val="000B3EB0"/>
    <w:rsid w:val="000B5A20"/>
    <w:rsid w:val="000B6A7C"/>
    <w:rsid w:val="000C1806"/>
    <w:rsid w:val="000C6E4E"/>
    <w:rsid w:val="000C724B"/>
    <w:rsid w:val="000D4547"/>
    <w:rsid w:val="000F74A4"/>
    <w:rsid w:val="001005F5"/>
    <w:rsid w:val="00106608"/>
    <w:rsid w:val="001075FB"/>
    <w:rsid w:val="00114771"/>
    <w:rsid w:val="00115C4B"/>
    <w:rsid w:val="00125819"/>
    <w:rsid w:val="00130493"/>
    <w:rsid w:val="001420B0"/>
    <w:rsid w:val="00151CAA"/>
    <w:rsid w:val="00153081"/>
    <w:rsid w:val="00153268"/>
    <w:rsid w:val="00154A42"/>
    <w:rsid w:val="00160F48"/>
    <w:rsid w:val="00164AC1"/>
    <w:rsid w:val="00166FB4"/>
    <w:rsid w:val="00184CEF"/>
    <w:rsid w:val="0018577D"/>
    <w:rsid w:val="001869B0"/>
    <w:rsid w:val="00187ACF"/>
    <w:rsid w:val="00190349"/>
    <w:rsid w:val="00197BAC"/>
    <w:rsid w:val="001A020D"/>
    <w:rsid w:val="001A4ACF"/>
    <w:rsid w:val="001B5991"/>
    <w:rsid w:val="001B5F67"/>
    <w:rsid w:val="001C2A1A"/>
    <w:rsid w:val="001C432F"/>
    <w:rsid w:val="001C750A"/>
    <w:rsid w:val="001D07CD"/>
    <w:rsid w:val="001D638B"/>
    <w:rsid w:val="001E3CE3"/>
    <w:rsid w:val="001F04A2"/>
    <w:rsid w:val="001F3810"/>
    <w:rsid w:val="001F3997"/>
    <w:rsid w:val="001F64A3"/>
    <w:rsid w:val="001F68CE"/>
    <w:rsid w:val="001F6F4C"/>
    <w:rsid w:val="00201C87"/>
    <w:rsid w:val="002048E0"/>
    <w:rsid w:val="00204C88"/>
    <w:rsid w:val="002056BA"/>
    <w:rsid w:val="00211985"/>
    <w:rsid w:val="00221F5E"/>
    <w:rsid w:val="0022708E"/>
    <w:rsid w:val="002317BC"/>
    <w:rsid w:val="00232581"/>
    <w:rsid w:val="00250BFD"/>
    <w:rsid w:val="00251145"/>
    <w:rsid w:val="00254D18"/>
    <w:rsid w:val="0025784C"/>
    <w:rsid w:val="0026411E"/>
    <w:rsid w:val="002750C4"/>
    <w:rsid w:val="00275323"/>
    <w:rsid w:val="00276E90"/>
    <w:rsid w:val="00282255"/>
    <w:rsid w:val="002966CE"/>
    <w:rsid w:val="002A029F"/>
    <w:rsid w:val="002A059D"/>
    <w:rsid w:val="002B3283"/>
    <w:rsid w:val="002B7081"/>
    <w:rsid w:val="002C1BDC"/>
    <w:rsid w:val="002C2ADF"/>
    <w:rsid w:val="002C5753"/>
    <w:rsid w:val="002D3B02"/>
    <w:rsid w:val="002D57EE"/>
    <w:rsid w:val="002D682B"/>
    <w:rsid w:val="002E48AC"/>
    <w:rsid w:val="002E5EC1"/>
    <w:rsid w:val="002E5ED3"/>
    <w:rsid w:val="002E7318"/>
    <w:rsid w:val="00311B54"/>
    <w:rsid w:val="00315AB3"/>
    <w:rsid w:val="00317C67"/>
    <w:rsid w:val="0033342C"/>
    <w:rsid w:val="003371D0"/>
    <w:rsid w:val="00341BB6"/>
    <w:rsid w:val="00342159"/>
    <w:rsid w:val="00344D56"/>
    <w:rsid w:val="00347FEF"/>
    <w:rsid w:val="003503C0"/>
    <w:rsid w:val="0035343F"/>
    <w:rsid w:val="00353663"/>
    <w:rsid w:val="00355C97"/>
    <w:rsid w:val="00360763"/>
    <w:rsid w:val="0036111E"/>
    <w:rsid w:val="00362A42"/>
    <w:rsid w:val="00370288"/>
    <w:rsid w:val="00373469"/>
    <w:rsid w:val="00373D0B"/>
    <w:rsid w:val="003744C3"/>
    <w:rsid w:val="00375CBF"/>
    <w:rsid w:val="00375EFC"/>
    <w:rsid w:val="00382144"/>
    <w:rsid w:val="003837CC"/>
    <w:rsid w:val="00386060"/>
    <w:rsid w:val="003864AA"/>
    <w:rsid w:val="0038684E"/>
    <w:rsid w:val="003904B9"/>
    <w:rsid w:val="00394187"/>
    <w:rsid w:val="003941E0"/>
    <w:rsid w:val="00395CFE"/>
    <w:rsid w:val="003A0D2E"/>
    <w:rsid w:val="003A16E1"/>
    <w:rsid w:val="003A2748"/>
    <w:rsid w:val="003A30F3"/>
    <w:rsid w:val="003B21A1"/>
    <w:rsid w:val="003B3CFF"/>
    <w:rsid w:val="003B5AB1"/>
    <w:rsid w:val="003C2A6E"/>
    <w:rsid w:val="003C39F4"/>
    <w:rsid w:val="003D3EA1"/>
    <w:rsid w:val="003D4F49"/>
    <w:rsid w:val="003D6D11"/>
    <w:rsid w:val="003D7923"/>
    <w:rsid w:val="003E5628"/>
    <w:rsid w:val="003F1961"/>
    <w:rsid w:val="003F5DD5"/>
    <w:rsid w:val="00404C10"/>
    <w:rsid w:val="004064CD"/>
    <w:rsid w:val="00414AB9"/>
    <w:rsid w:val="00414DB3"/>
    <w:rsid w:val="0041731F"/>
    <w:rsid w:val="00421465"/>
    <w:rsid w:val="00421F98"/>
    <w:rsid w:val="00422F43"/>
    <w:rsid w:val="0043066B"/>
    <w:rsid w:val="004309BF"/>
    <w:rsid w:val="00433AE8"/>
    <w:rsid w:val="00436419"/>
    <w:rsid w:val="00442E22"/>
    <w:rsid w:val="004454A0"/>
    <w:rsid w:val="00453818"/>
    <w:rsid w:val="004558CC"/>
    <w:rsid w:val="00457C65"/>
    <w:rsid w:val="0046312A"/>
    <w:rsid w:val="00470F4D"/>
    <w:rsid w:val="0047448F"/>
    <w:rsid w:val="00474670"/>
    <w:rsid w:val="00484F2D"/>
    <w:rsid w:val="004855CE"/>
    <w:rsid w:val="004869E7"/>
    <w:rsid w:val="00495E2E"/>
    <w:rsid w:val="00496CF9"/>
    <w:rsid w:val="004A03FF"/>
    <w:rsid w:val="004A248B"/>
    <w:rsid w:val="004A3CCB"/>
    <w:rsid w:val="004C3011"/>
    <w:rsid w:val="004D4C37"/>
    <w:rsid w:val="004D5BE3"/>
    <w:rsid w:val="004E0FF2"/>
    <w:rsid w:val="004E6FDE"/>
    <w:rsid w:val="004F449F"/>
    <w:rsid w:val="0050064B"/>
    <w:rsid w:val="005014C6"/>
    <w:rsid w:val="00513F1E"/>
    <w:rsid w:val="00530E2D"/>
    <w:rsid w:val="00531BB1"/>
    <w:rsid w:val="0053259F"/>
    <w:rsid w:val="00541F9A"/>
    <w:rsid w:val="00545E3C"/>
    <w:rsid w:val="00552266"/>
    <w:rsid w:val="00563AD8"/>
    <w:rsid w:val="005643BA"/>
    <w:rsid w:val="00564BE8"/>
    <w:rsid w:val="00564CA5"/>
    <w:rsid w:val="00570E5B"/>
    <w:rsid w:val="0057260F"/>
    <w:rsid w:val="00585848"/>
    <w:rsid w:val="005974BE"/>
    <w:rsid w:val="005A1443"/>
    <w:rsid w:val="005A7AB4"/>
    <w:rsid w:val="005B2D1F"/>
    <w:rsid w:val="005B785A"/>
    <w:rsid w:val="005C6E04"/>
    <w:rsid w:val="005C7108"/>
    <w:rsid w:val="005D2F0A"/>
    <w:rsid w:val="005D47CE"/>
    <w:rsid w:val="005E2A78"/>
    <w:rsid w:val="005E2E03"/>
    <w:rsid w:val="005E3DE2"/>
    <w:rsid w:val="005E4DE1"/>
    <w:rsid w:val="005E5FCE"/>
    <w:rsid w:val="005F0A6F"/>
    <w:rsid w:val="005F3D90"/>
    <w:rsid w:val="005F5578"/>
    <w:rsid w:val="00615C49"/>
    <w:rsid w:val="00616DD8"/>
    <w:rsid w:val="00617F6B"/>
    <w:rsid w:val="00620DD0"/>
    <w:rsid w:val="006278C7"/>
    <w:rsid w:val="006325B4"/>
    <w:rsid w:val="00633068"/>
    <w:rsid w:val="0063388B"/>
    <w:rsid w:val="0063494B"/>
    <w:rsid w:val="00646EFD"/>
    <w:rsid w:val="0064754C"/>
    <w:rsid w:val="00653C03"/>
    <w:rsid w:val="00664DEC"/>
    <w:rsid w:val="00666190"/>
    <w:rsid w:val="006769C2"/>
    <w:rsid w:val="00677CEF"/>
    <w:rsid w:val="006817B0"/>
    <w:rsid w:val="00693DA3"/>
    <w:rsid w:val="006A39C3"/>
    <w:rsid w:val="006A450D"/>
    <w:rsid w:val="006B2327"/>
    <w:rsid w:val="006B32BE"/>
    <w:rsid w:val="006C1FD1"/>
    <w:rsid w:val="006C4904"/>
    <w:rsid w:val="006D0A5E"/>
    <w:rsid w:val="006D4CD9"/>
    <w:rsid w:val="006E6549"/>
    <w:rsid w:val="006E6B2B"/>
    <w:rsid w:val="006F0856"/>
    <w:rsid w:val="006F29EA"/>
    <w:rsid w:val="00703C67"/>
    <w:rsid w:val="0070707A"/>
    <w:rsid w:val="00707696"/>
    <w:rsid w:val="00707879"/>
    <w:rsid w:val="00707B2F"/>
    <w:rsid w:val="00710792"/>
    <w:rsid w:val="00710FC8"/>
    <w:rsid w:val="00711BA5"/>
    <w:rsid w:val="00714D79"/>
    <w:rsid w:val="0071799F"/>
    <w:rsid w:val="00717CCA"/>
    <w:rsid w:val="007202C6"/>
    <w:rsid w:val="00722627"/>
    <w:rsid w:val="00740720"/>
    <w:rsid w:val="00742FA2"/>
    <w:rsid w:val="00747563"/>
    <w:rsid w:val="0075323A"/>
    <w:rsid w:val="00754631"/>
    <w:rsid w:val="00757301"/>
    <w:rsid w:val="00760522"/>
    <w:rsid w:val="00762F1A"/>
    <w:rsid w:val="00764333"/>
    <w:rsid w:val="007716A7"/>
    <w:rsid w:val="00772EB1"/>
    <w:rsid w:val="00781227"/>
    <w:rsid w:val="00782E55"/>
    <w:rsid w:val="00784DEB"/>
    <w:rsid w:val="007900D5"/>
    <w:rsid w:val="00792B10"/>
    <w:rsid w:val="00792F6E"/>
    <w:rsid w:val="00796928"/>
    <w:rsid w:val="007A5557"/>
    <w:rsid w:val="007A5734"/>
    <w:rsid w:val="007A5E43"/>
    <w:rsid w:val="007B565F"/>
    <w:rsid w:val="007B6C8C"/>
    <w:rsid w:val="007C7E2D"/>
    <w:rsid w:val="007D197B"/>
    <w:rsid w:val="007D3433"/>
    <w:rsid w:val="007D495A"/>
    <w:rsid w:val="007D7C64"/>
    <w:rsid w:val="007F306E"/>
    <w:rsid w:val="007F76A9"/>
    <w:rsid w:val="008017C7"/>
    <w:rsid w:val="00807049"/>
    <w:rsid w:val="00816F6C"/>
    <w:rsid w:val="008210E1"/>
    <w:rsid w:val="0082132C"/>
    <w:rsid w:val="008224A7"/>
    <w:rsid w:val="00834893"/>
    <w:rsid w:val="00834C5C"/>
    <w:rsid w:val="00856EB3"/>
    <w:rsid w:val="0086059C"/>
    <w:rsid w:val="00862240"/>
    <w:rsid w:val="00862590"/>
    <w:rsid w:val="00863CAC"/>
    <w:rsid w:val="00865ECE"/>
    <w:rsid w:val="00867882"/>
    <w:rsid w:val="00880AAE"/>
    <w:rsid w:val="00880FE8"/>
    <w:rsid w:val="00881E07"/>
    <w:rsid w:val="00882718"/>
    <w:rsid w:val="00882783"/>
    <w:rsid w:val="00885C29"/>
    <w:rsid w:val="00890E20"/>
    <w:rsid w:val="0089381B"/>
    <w:rsid w:val="0089667D"/>
    <w:rsid w:val="00896800"/>
    <w:rsid w:val="008A0150"/>
    <w:rsid w:val="008A6A4C"/>
    <w:rsid w:val="008A7832"/>
    <w:rsid w:val="008A7A8E"/>
    <w:rsid w:val="008B0488"/>
    <w:rsid w:val="008B6874"/>
    <w:rsid w:val="008C171F"/>
    <w:rsid w:val="008C1818"/>
    <w:rsid w:val="008D110A"/>
    <w:rsid w:val="008D2205"/>
    <w:rsid w:val="008D25F8"/>
    <w:rsid w:val="008D2C44"/>
    <w:rsid w:val="008D5E13"/>
    <w:rsid w:val="008D6543"/>
    <w:rsid w:val="008E2221"/>
    <w:rsid w:val="008E58E0"/>
    <w:rsid w:val="008F16FE"/>
    <w:rsid w:val="008F66B6"/>
    <w:rsid w:val="008F7087"/>
    <w:rsid w:val="009058B1"/>
    <w:rsid w:val="00912C90"/>
    <w:rsid w:val="00915257"/>
    <w:rsid w:val="009158BF"/>
    <w:rsid w:val="00916721"/>
    <w:rsid w:val="00922B1B"/>
    <w:rsid w:val="009230CE"/>
    <w:rsid w:val="00925A5F"/>
    <w:rsid w:val="00932350"/>
    <w:rsid w:val="00933F03"/>
    <w:rsid w:val="00935EDD"/>
    <w:rsid w:val="00943BDE"/>
    <w:rsid w:val="009471DD"/>
    <w:rsid w:val="009573E9"/>
    <w:rsid w:val="00971915"/>
    <w:rsid w:val="009774BA"/>
    <w:rsid w:val="00986CF3"/>
    <w:rsid w:val="009A1713"/>
    <w:rsid w:val="009A1ECB"/>
    <w:rsid w:val="009A4DB9"/>
    <w:rsid w:val="009B3ECA"/>
    <w:rsid w:val="009B4790"/>
    <w:rsid w:val="009B5838"/>
    <w:rsid w:val="009B583F"/>
    <w:rsid w:val="009C217F"/>
    <w:rsid w:val="009C3565"/>
    <w:rsid w:val="009C7E25"/>
    <w:rsid w:val="009D560D"/>
    <w:rsid w:val="009E1540"/>
    <w:rsid w:val="009E15D6"/>
    <w:rsid w:val="009E2C7E"/>
    <w:rsid w:val="009E34CD"/>
    <w:rsid w:val="00A07D0D"/>
    <w:rsid w:val="00A10D9B"/>
    <w:rsid w:val="00A1193C"/>
    <w:rsid w:val="00A12CEF"/>
    <w:rsid w:val="00A160AE"/>
    <w:rsid w:val="00A21C88"/>
    <w:rsid w:val="00A221ED"/>
    <w:rsid w:val="00A27C06"/>
    <w:rsid w:val="00A27D94"/>
    <w:rsid w:val="00A36E4A"/>
    <w:rsid w:val="00A4148C"/>
    <w:rsid w:val="00A521E9"/>
    <w:rsid w:val="00A659A8"/>
    <w:rsid w:val="00A672AE"/>
    <w:rsid w:val="00A67A25"/>
    <w:rsid w:val="00A70BC2"/>
    <w:rsid w:val="00A71F98"/>
    <w:rsid w:val="00A751FD"/>
    <w:rsid w:val="00A75418"/>
    <w:rsid w:val="00A84DC6"/>
    <w:rsid w:val="00A85CC5"/>
    <w:rsid w:val="00A93CAF"/>
    <w:rsid w:val="00A95B6E"/>
    <w:rsid w:val="00A95E45"/>
    <w:rsid w:val="00A95F79"/>
    <w:rsid w:val="00AA5609"/>
    <w:rsid w:val="00AA75D7"/>
    <w:rsid w:val="00AB4F27"/>
    <w:rsid w:val="00AB5389"/>
    <w:rsid w:val="00AD009B"/>
    <w:rsid w:val="00AD29CB"/>
    <w:rsid w:val="00AD2E14"/>
    <w:rsid w:val="00AE03FA"/>
    <w:rsid w:val="00AE0C8F"/>
    <w:rsid w:val="00AE0E38"/>
    <w:rsid w:val="00AE2C4D"/>
    <w:rsid w:val="00AE7B90"/>
    <w:rsid w:val="00AF63AC"/>
    <w:rsid w:val="00B027ED"/>
    <w:rsid w:val="00B039E4"/>
    <w:rsid w:val="00B04857"/>
    <w:rsid w:val="00B05AA9"/>
    <w:rsid w:val="00B07A0E"/>
    <w:rsid w:val="00B103A0"/>
    <w:rsid w:val="00B15317"/>
    <w:rsid w:val="00B2034C"/>
    <w:rsid w:val="00B21935"/>
    <w:rsid w:val="00B26442"/>
    <w:rsid w:val="00B3311D"/>
    <w:rsid w:val="00B37A15"/>
    <w:rsid w:val="00B44E08"/>
    <w:rsid w:val="00B503C2"/>
    <w:rsid w:val="00B52E6C"/>
    <w:rsid w:val="00B54961"/>
    <w:rsid w:val="00B564E4"/>
    <w:rsid w:val="00B6173A"/>
    <w:rsid w:val="00B62ECD"/>
    <w:rsid w:val="00B655D9"/>
    <w:rsid w:val="00B65BF2"/>
    <w:rsid w:val="00B70750"/>
    <w:rsid w:val="00B72AB0"/>
    <w:rsid w:val="00B77364"/>
    <w:rsid w:val="00B8136F"/>
    <w:rsid w:val="00BC03EB"/>
    <w:rsid w:val="00BC0E1F"/>
    <w:rsid w:val="00BC1521"/>
    <w:rsid w:val="00BC1E28"/>
    <w:rsid w:val="00BC22D1"/>
    <w:rsid w:val="00BC28CB"/>
    <w:rsid w:val="00BC7EAD"/>
    <w:rsid w:val="00BD19DB"/>
    <w:rsid w:val="00BD201F"/>
    <w:rsid w:val="00BD24AA"/>
    <w:rsid w:val="00BD611E"/>
    <w:rsid w:val="00BD6DDE"/>
    <w:rsid w:val="00BE0181"/>
    <w:rsid w:val="00BF1471"/>
    <w:rsid w:val="00C02AF8"/>
    <w:rsid w:val="00C03B3C"/>
    <w:rsid w:val="00C11094"/>
    <w:rsid w:val="00C23EC2"/>
    <w:rsid w:val="00C30CD9"/>
    <w:rsid w:val="00C313B7"/>
    <w:rsid w:val="00C34EF4"/>
    <w:rsid w:val="00C35236"/>
    <w:rsid w:val="00C36028"/>
    <w:rsid w:val="00C36E8A"/>
    <w:rsid w:val="00C41F42"/>
    <w:rsid w:val="00C432B1"/>
    <w:rsid w:val="00C45BF3"/>
    <w:rsid w:val="00C47364"/>
    <w:rsid w:val="00C55B62"/>
    <w:rsid w:val="00C679E4"/>
    <w:rsid w:val="00C753B8"/>
    <w:rsid w:val="00C76B2E"/>
    <w:rsid w:val="00C80CDA"/>
    <w:rsid w:val="00C848F1"/>
    <w:rsid w:val="00CA2B02"/>
    <w:rsid w:val="00CA37A8"/>
    <w:rsid w:val="00CA39B5"/>
    <w:rsid w:val="00CA49B1"/>
    <w:rsid w:val="00CB4811"/>
    <w:rsid w:val="00CB7A69"/>
    <w:rsid w:val="00CB7FB8"/>
    <w:rsid w:val="00CC61CE"/>
    <w:rsid w:val="00CE324D"/>
    <w:rsid w:val="00CF097E"/>
    <w:rsid w:val="00CF0DF8"/>
    <w:rsid w:val="00CF2B15"/>
    <w:rsid w:val="00CF33F6"/>
    <w:rsid w:val="00CF34D6"/>
    <w:rsid w:val="00CF6815"/>
    <w:rsid w:val="00D02383"/>
    <w:rsid w:val="00D027B8"/>
    <w:rsid w:val="00D10AE9"/>
    <w:rsid w:val="00D12150"/>
    <w:rsid w:val="00D12F2C"/>
    <w:rsid w:val="00D23A3D"/>
    <w:rsid w:val="00D23FAC"/>
    <w:rsid w:val="00D30FA8"/>
    <w:rsid w:val="00D31AC2"/>
    <w:rsid w:val="00D33949"/>
    <w:rsid w:val="00D3670C"/>
    <w:rsid w:val="00D4396C"/>
    <w:rsid w:val="00D50E73"/>
    <w:rsid w:val="00D61055"/>
    <w:rsid w:val="00D62D87"/>
    <w:rsid w:val="00D67501"/>
    <w:rsid w:val="00D75C0C"/>
    <w:rsid w:val="00D849DC"/>
    <w:rsid w:val="00D9030F"/>
    <w:rsid w:val="00DA005C"/>
    <w:rsid w:val="00DA6137"/>
    <w:rsid w:val="00DB39EB"/>
    <w:rsid w:val="00DB79C6"/>
    <w:rsid w:val="00DC2B59"/>
    <w:rsid w:val="00DC3BE7"/>
    <w:rsid w:val="00DC5EF2"/>
    <w:rsid w:val="00DD2071"/>
    <w:rsid w:val="00DD39C9"/>
    <w:rsid w:val="00DE2802"/>
    <w:rsid w:val="00DE2A3F"/>
    <w:rsid w:val="00DE7CF9"/>
    <w:rsid w:val="00E03B00"/>
    <w:rsid w:val="00E0522E"/>
    <w:rsid w:val="00E063F5"/>
    <w:rsid w:val="00E11A12"/>
    <w:rsid w:val="00E406AB"/>
    <w:rsid w:val="00E42F2E"/>
    <w:rsid w:val="00E4474D"/>
    <w:rsid w:val="00E5390E"/>
    <w:rsid w:val="00E640D1"/>
    <w:rsid w:val="00E6763F"/>
    <w:rsid w:val="00E736EA"/>
    <w:rsid w:val="00E81535"/>
    <w:rsid w:val="00E87ABE"/>
    <w:rsid w:val="00E87C8C"/>
    <w:rsid w:val="00E9393A"/>
    <w:rsid w:val="00E95009"/>
    <w:rsid w:val="00E96673"/>
    <w:rsid w:val="00E96A82"/>
    <w:rsid w:val="00EA0FD4"/>
    <w:rsid w:val="00EA23C9"/>
    <w:rsid w:val="00EA47A3"/>
    <w:rsid w:val="00EA5EC3"/>
    <w:rsid w:val="00EB6E73"/>
    <w:rsid w:val="00EC01BF"/>
    <w:rsid w:val="00EC08E4"/>
    <w:rsid w:val="00EC44CE"/>
    <w:rsid w:val="00EC649B"/>
    <w:rsid w:val="00ED4095"/>
    <w:rsid w:val="00EE3779"/>
    <w:rsid w:val="00EE5935"/>
    <w:rsid w:val="00EE6777"/>
    <w:rsid w:val="00EE6EBB"/>
    <w:rsid w:val="00EF581E"/>
    <w:rsid w:val="00F031D3"/>
    <w:rsid w:val="00F05282"/>
    <w:rsid w:val="00F06B55"/>
    <w:rsid w:val="00F07ABA"/>
    <w:rsid w:val="00F12F63"/>
    <w:rsid w:val="00F170EB"/>
    <w:rsid w:val="00F25412"/>
    <w:rsid w:val="00F274F6"/>
    <w:rsid w:val="00F441FE"/>
    <w:rsid w:val="00F46C71"/>
    <w:rsid w:val="00F47A87"/>
    <w:rsid w:val="00F51DB2"/>
    <w:rsid w:val="00F666F0"/>
    <w:rsid w:val="00F71E98"/>
    <w:rsid w:val="00F75723"/>
    <w:rsid w:val="00F76A0B"/>
    <w:rsid w:val="00F81408"/>
    <w:rsid w:val="00F83935"/>
    <w:rsid w:val="00F963FF"/>
    <w:rsid w:val="00FB0186"/>
    <w:rsid w:val="00FB2CF8"/>
    <w:rsid w:val="00FC17C1"/>
    <w:rsid w:val="00FC5279"/>
    <w:rsid w:val="00FC6E2C"/>
    <w:rsid w:val="00FD2390"/>
    <w:rsid w:val="00FD356F"/>
    <w:rsid w:val="00FE077A"/>
    <w:rsid w:val="00FF6261"/>
    <w:rsid w:val="00FF72C0"/>
    <w:rsid w:val="05297A49"/>
    <w:rsid w:val="08DDAFC3"/>
    <w:rsid w:val="10C80346"/>
    <w:rsid w:val="13380716"/>
    <w:rsid w:val="1A067BA7"/>
    <w:rsid w:val="1C404550"/>
    <w:rsid w:val="1E2B3414"/>
    <w:rsid w:val="2E314BA6"/>
    <w:rsid w:val="2E6AAD39"/>
    <w:rsid w:val="34641292"/>
    <w:rsid w:val="34E1821D"/>
    <w:rsid w:val="3D79DEBB"/>
    <w:rsid w:val="4658B6AC"/>
    <w:rsid w:val="47D0742E"/>
    <w:rsid w:val="492E159B"/>
    <w:rsid w:val="49B20AC5"/>
    <w:rsid w:val="4AA43226"/>
    <w:rsid w:val="53DBD92C"/>
    <w:rsid w:val="54A1531F"/>
    <w:rsid w:val="5848AE25"/>
    <w:rsid w:val="5DD84A61"/>
    <w:rsid w:val="60575B0E"/>
    <w:rsid w:val="642500CB"/>
    <w:rsid w:val="651AA5D5"/>
    <w:rsid w:val="65615630"/>
    <w:rsid w:val="66665799"/>
    <w:rsid w:val="6C286D0A"/>
    <w:rsid w:val="71B82970"/>
    <w:rsid w:val="74AACC52"/>
    <w:rsid w:val="76BCE3AE"/>
    <w:rsid w:val="779DE1BE"/>
    <w:rsid w:val="77A5B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6946F"/>
  <w15:docId w15:val="{F6487791-52FB-4C75-8856-89421039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67D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F79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F79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F79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F79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55B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2D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F34D6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CF34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95F79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C22D1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CE0058" w:themeFill="accent2"/>
      <w:vAlign w:val="center"/>
    </w:tcPr>
    <w:tblStylePr w:type="firstCol">
      <w:tblPr/>
      <w:tcPr>
        <w:shd w:val="clear" w:color="auto" w:fill="CE0058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95F79"/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5F79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rsid w:val="00BC22D1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CE0058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95F79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6278C7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6278C7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762F1A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A95F79"/>
    <w:pPr>
      <w:spacing w:before="240" w:after="320" w:line="240" w:lineRule="auto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CF34D6"/>
    <w:pPr>
      <w:numPr>
        <w:numId w:val="32"/>
      </w:numPr>
      <w:spacing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CF34D6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BC22D1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6278C7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0"/>
      </w:numPr>
      <w:spacing w:after="0"/>
      <w:ind w:left="284" w:hanging="284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ilvl w:val="0"/>
        <w:numId w:val="0"/>
      </w:numPr>
      <w:spacing w:after="0"/>
      <w:ind w:left="567" w:hanging="283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ind w:left="567" w:hanging="283"/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CF34D6"/>
    <w:pPr>
      <w:spacing w:before="120" w:after="120" w:line="432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CF34D6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5F79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6278C7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6278C7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6278C7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F06B55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B62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FB0186"/>
    <w:rPr>
      <w:color w:val="FF4895" w:themeColor="accent2" w:themeTint="99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278C7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78C7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8C7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semiHidden/>
    <w:unhideWhenUsed/>
    <w:rsid w:val="006A4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5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50D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50D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D12150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E34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D201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.au.m.mimecastprotect.com/s/n8UUCnx16XF9vDxS9XSDg?domain=urldefens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sc.vic.gov.au/electricity-and-gas/inquiries-studies-and-reviews/revoking-electricity-system-code" TargetMode="External"/></Relationships>
</file>

<file path=word/theme/theme1.xml><?xml version="1.0" encoding="utf-8"?>
<a:theme xmlns:a="http://schemas.openxmlformats.org/drawingml/2006/main" name="Office Theme">
  <a:themeElements>
    <a:clrScheme name="ESC PINK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0bfaf5-c61f-4e89-a87f-4f32a22b6d02">
      <UserInfo>
        <DisplayName>Nicole Ward (ESC)</DisplayName>
        <AccountId>34</AccountId>
        <AccountType/>
      </UserInfo>
      <UserInfo>
        <DisplayName>Michelle Chay (ESC)</DisplayName>
        <AccountId>35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1E92A0CD2AD4EB4E4874A4AEEDB98" ma:contentTypeVersion="6" ma:contentTypeDescription="Create a new document." ma:contentTypeScope="" ma:versionID="176792ead75fbba575c1b02eab931644">
  <xsd:schema xmlns:xsd="http://www.w3.org/2001/XMLSchema" xmlns:xs="http://www.w3.org/2001/XMLSchema" xmlns:p="http://schemas.microsoft.com/office/2006/metadata/properties" xmlns:ns2="b4c69198-19d3-4604-bf54-c3d9331cbca7" xmlns:ns3="f40bfaf5-c61f-4e89-a87f-4f32a22b6d02" targetNamespace="http://schemas.microsoft.com/office/2006/metadata/properties" ma:root="true" ma:fieldsID="35c1353a26c48967f0ed25f538240e21" ns2:_="" ns3:_="">
    <xsd:import namespace="b4c69198-19d3-4604-bf54-c3d9331cbca7"/>
    <xsd:import namespace="f40bfaf5-c61f-4e89-a87f-4f32a22b6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9198-19d3-4604-bf54-c3d9331cb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faf5-c61f-4e89-a87f-4f32a22b6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6219-021E-4A09-98F4-23916BAE8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3E46D-9AC4-441B-81BB-A6ED32729589}">
  <ds:schemaRefs>
    <ds:schemaRef ds:uri="http://schemas.microsoft.com/office/2006/metadata/properties"/>
    <ds:schemaRef ds:uri="http://schemas.microsoft.com/office/infopath/2007/PartnerControls"/>
    <ds:schemaRef ds:uri="f40bfaf5-c61f-4e89-a87f-4f32a22b6d02"/>
  </ds:schemaRefs>
</ds:datastoreItem>
</file>

<file path=customXml/itemProps3.xml><?xml version="1.0" encoding="utf-8"?>
<ds:datastoreItem xmlns:ds="http://schemas.openxmlformats.org/officeDocument/2006/customXml" ds:itemID="{9F170FCE-9DF2-4B5E-BD10-DE8B7D687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69198-19d3-4604-bf54-c3d9331cbca7"/>
    <ds:schemaRef ds:uri="f40bfaf5-c61f-4e89-a87f-4f32a22b6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60ED9B-F36D-4EA2-857A-A3E527A7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740</Words>
  <Characters>4203</Characters>
  <Application>Microsoft Office Word</Application>
  <DocSecurity>0</DocSecurity>
  <Lines>76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Links>
    <vt:vector size="12" baseType="variant">
      <vt:variant>
        <vt:i4>7143465</vt:i4>
      </vt:variant>
      <vt:variant>
        <vt:i4>0</vt:i4>
      </vt:variant>
      <vt:variant>
        <vt:i4>0</vt:i4>
      </vt:variant>
      <vt:variant>
        <vt:i4>5</vt:i4>
      </vt:variant>
      <vt:variant>
        <vt:lpwstr>https://url.au.m.mimecastprotect.com/s/n8UUCnx16XF9vDxS9XSDg?domain=urldefense.com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https://www.esc.vic.gov.au/electricity-and-gas/inquiries-studies-and-reviews/revoking-electricity-system-code</vt:lpwstr>
      </vt:variant>
      <vt:variant>
        <vt:lpwstr>tabs-container2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Samraansh Sharma (ESC)</dc:creator>
  <cp:keywords>[SEC=UNOFFICIAL]</cp:keywords>
  <dc:description/>
  <cp:lastModifiedBy>Samraansh Sharma (ESC)</cp:lastModifiedBy>
  <cp:revision>11</cp:revision>
  <cp:lastPrinted>2018-01-09T12:51:00Z</cp:lastPrinted>
  <dcterms:created xsi:type="dcterms:W3CDTF">2024-10-01T23:42:00Z</dcterms:created>
  <dcterms:modified xsi:type="dcterms:W3CDTF">2024-10-01T23:48:00Z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ProtectiveMarkingValue_Header">
    <vt:lpwstr>UNOFFICIAL</vt:lpwstr>
  </property>
  <property fmtid="{D5CDD505-2E9C-101B-9397-08002B2CF9AE}" pid="9" name="PM_OriginationTimeStamp">
    <vt:lpwstr>2024-10-01T23:42:26Z</vt:lpwstr>
  </property>
  <property fmtid="{D5CDD505-2E9C-101B-9397-08002B2CF9AE}" pid="10" name="PM_Markers">
    <vt:lpwstr/>
  </property>
  <property fmtid="{D5CDD505-2E9C-101B-9397-08002B2CF9AE}" pid="11" name="PM_InsertionValue">
    <vt:lpwstr>UNOFFICIAL</vt:lpwstr>
  </property>
  <property fmtid="{D5CDD505-2E9C-101B-9397-08002B2CF9AE}" pid="12" name="PM_DisplayValueSecClassificationWithQualifier">
    <vt:lpwstr>UNOFFICIAL</vt:lpwstr>
  </property>
  <property fmtid="{D5CDD505-2E9C-101B-9397-08002B2CF9AE}" pid="13" name="PM_Originating_FileId">
    <vt:lpwstr>2CED3290FA63444DA06D6EEB77D84C4A</vt:lpwstr>
  </property>
  <property fmtid="{D5CDD505-2E9C-101B-9397-08002B2CF9AE}" pid="14" name="PM_ProtectiveMarkingValue_Footer">
    <vt:lpwstr>UNOFFICIAL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UNOFFICIAL</vt:lpwstr>
  </property>
  <property fmtid="{D5CDD505-2E9C-101B-9397-08002B2CF9AE}" pid="18" name="PM_OriginatorDomainName_SHA256">
    <vt:lpwstr>9E5929A2B0C9364118E50F7972B6A4AA763F815A803675E11226272E392AE99C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ContentTypeId">
    <vt:lpwstr>0x010100D511E92A0CD2AD4EB4E4874A4AEEDB98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HMAC">
    <vt:lpwstr>v=2022.1;a=SHA256;h=BE325441F73C7BF8B09042C6C9C077E2F25205BF111B5CA4652F6DDA55AD1180</vt:lpwstr>
  </property>
  <property fmtid="{D5CDD505-2E9C-101B-9397-08002B2CF9AE}" pid="25" name="PM_Originator_Hash_SHA1">
    <vt:lpwstr>4EDBE76A9C21EA6B7387BD6D462FF34BCF7CC711</vt:lpwstr>
  </property>
  <property fmtid="{D5CDD505-2E9C-101B-9397-08002B2CF9AE}" pid="26" name="PM_OriginatorUserAccountName_SHA256">
    <vt:lpwstr>296B571D8E65C4253B6D76C5CDFD6485D5D61D8DEBE241309FAD80DBC74D5779</vt:lpwstr>
  </property>
  <property fmtid="{D5CDD505-2E9C-101B-9397-08002B2CF9AE}" pid="27" name="PM_Hash_Salt_Prev">
    <vt:lpwstr>6C3135AEABFA5AC188A8EF08903F19CA</vt:lpwstr>
  </property>
  <property fmtid="{D5CDD505-2E9C-101B-9397-08002B2CF9AE}" pid="28" name="PM_Hash_Salt">
    <vt:lpwstr>9506D449DD7872694345DAE279380133</vt:lpwstr>
  </property>
  <property fmtid="{D5CDD505-2E9C-101B-9397-08002B2CF9AE}" pid="29" name="PM_Hash_SHA1">
    <vt:lpwstr>B28BE143E7E0989F7C1B147605D2F9807F8B0D7D</vt:lpwstr>
  </property>
  <property fmtid="{D5CDD505-2E9C-101B-9397-08002B2CF9AE}" pid="30" name="ClassificationContentMarkingHeaderShapeIds">
    <vt:lpwstr>1d522172,378b8c89,59cfede7</vt:lpwstr>
  </property>
  <property fmtid="{D5CDD505-2E9C-101B-9397-08002B2CF9AE}" pid="31" name="ClassificationContentMarkingHeaderFontProps">
    <vt:lpwstr>#ff0000,12,Calibri</vt:lpwstr>
  </property>
  <property fmtid="{D5CDD505-2E9C-101B-9397-08002B2CF9AE}" pid="32" name="ClassificationContentMarkingHeaderText">
    <vt:lpwstr>OFFICIAL</vt:lpwstr>
  </property>
  <property fmtid="{D5CDD505-2E9C-101B-9397-08002B2CF9AE}" pid="33" name="MSIP_Label_c62a3d98-e4c9-4917-991a-0f0276b71296_Enabled">
    <vt:lpwstr>true</vt:lpwstr>
  </property>
  <property fmtid="{D5CDD505-2E9C-101B-9397-08002B2CF9AE}" pid="34" name="MSIP_Label_c62a3d98-e4c9-4917-991a-0f0276b71296_SetDate">
    <vt:lpwstr>2024-09-09T06:24:52Z</vt:lpwstr>
  </property>
  <property fmtid="{D5CDD505-2E9C-101B-9397-08002B2CF9AE}" pid="35" name="MSIP_Label_c62a3d98-e4c9-4917-991a-0f0276b71296_Method">
    <vt:lpwstr>Standard</vt:lpwstr>
  </property>
  <property fmtid="{D5CDD505-2E9C-101B-9397-08002B2CF9AE}" pid="36" name="MSIP_Label_c62a3d98-e4c9-4917-991a-0f0276b71296_Name">
    <vt:lpwstr>OFFICIAL</vt:lpwstr>
  </property>
  <property fmtid="{D5CDD505-2E9C-101B-9397-08002B2CF9AE}" pid="37" name="MSIP_Label_c62a3d98-e4c9-4917-991a-0f0276b71296_SiteId">
    <vt:lpwstr>5f894de5-5651-487a-aaff-5a8c899b254d</vt:lpwstr>
  </property>
  <property fmtid="{D5CDD505-2E9C-101B-9397-08002B2CF9AE}" pid="38" name="MSIP_Label_c62a3d98-e4c9-4917-991a-0f0276b71296_ActionId">
    <vt:lpwstr>13879771-d960-498b-bc85-ba0b1c9002e4</vt:lpwstr>
  </property>
  <property fmtid="{D5CDD505-2E9C-101B-9397-08002B2CF9AE}" pid="39" name="MSIP_Label_c62a3d98-e4c9-4917-991a-0f0276b71296_ContentBits">
    <vt:lpwstr>1</vt:lpwstr>
  </property>
</Properties>
</file>